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163B481F"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1A1C49">
            <w:t>SCE17</w:t>
          </w:r>
          <w:r w:rsidR="0054422B">
            <w:t>RN024</w:t>
          </w:r>
        </w:sdtContent>
      </w:sdt>
    </w:p>
    <w:bookmarkEnd w:id="0"/>
    <w:p w14:paraId="7601CE2F" w14:textId="10A18D16" w:rsidR="00DA690B" w:rsidRPr="00810947" w:rsidRDefault="007D563A"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163269" w:rsidRPr="00810947">
            <w:rPr>
              <w:rStyle w:val="CaptionChar"/>
              <w:rFonts w:asciiTheme="minorHAnsi" w:hAnsiTheme="minorHAnsi" w:cstheme="minorHAnsi"/>
              <w:b/>
              <w:bCs w:val="0"/>
              <w:sz w:val="48"/>
              <w:szCs w:val="48"/>
            </w:rPr>
            <w:t xml:space="preserve">Revision </w:t>
          </w:r>
          <w:r w:rsidR="0000166B" w:rsidRPr="00810947">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7D563A"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3195C0C7" w:rsidR="00DA690B" w:rsidRPr="00500C4E" w:rsidRDefault="00FC140D" w:rsidP="00DA690B">
      <w:pPr>
        <w:rPr>
          <w:rFonts w:cstheme="minorHAnsi"/>
          <w:b/>
          <w:sz w:val="72"/>
          <w:szCs w:val="72"/>
        </w:rPr>
      </w:pPr>
      <w:r>
        <w:rPr>
          <w:rFonts w:cstheme="minorHAnsi"/>
          <w:b/>
          <w:sz w:val="72"/>
          <w:szCs w:val="72"/>
        </w:rPr>
        <w:t>Refrigerated Storage Auto Closer</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54422B" w:rsidRPr="00500C4E" w14:paraId="4D3A4AB5" w14:textId="77777777" w:rsidTr="00920905">
        <w:trPr>
          <w:trHeight w:val="465"/>
        </w:trPr>
        <w:tc>
          <w:tcPr>
            <w:tcW w:w="1875" w:type="pct"/>
          </w:tcPr>
          <w:p w14:paraId="4D8DADAE" w14:textId="129EB9BE" w:rsidR="0054422B" w:rsidRPr="00920905" w:rsidRDefault="0054422B" w:rsidP="0054422B">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78DC59A1" w14:textId="77777777" w:rsidR="0054422B" w:rsidRDefault="0054422B" w:rsidP="0054422B">
            <w:pPr>
              <w:rPr>
                <w:rFonts w:cs="Arial"/>
                <w:bCs/>
                <w:szCs w:val="20"/>
              </w:rPr>
            </w:pPr>
            <w:r>
              <w:rPr>
                <w:rFonts w:cs="Arial"/>
                <w:szCs w:val="20"/>
              </w:rPr>
              <w:t>RF-16925: Main Cooler Door Auto Closer</w:t>
            </w:r>
          </w:p>
          <w:p w14:paraId="4F4CB7F6" w14:textId="3867764A" w:rsidR="0054422B" w:rsidRPr="00500C4E" w:rsidRDefault="0054422B" w:rsidP="0054422B">
            <w:pPr>
              <w:rPr>
                <w:rFonts w:cs="Arial"/>
                <w:bCs/>
                <w:color w:val="FF0000"/>
                <w:szCs w:val="20"/>
              </w:rPr>
            </w:pPr>
            <w:r>
              <w:rPr>
                <w:rFonts w:cs="Arial"/>
                <w:szCs w:val="20"/>
              </w:rPr>
              <w:t>RF-32156: Main Freezer Door Auto Closer</w:t>
            </w:r>
          </w:p>
        </w:tc>
      </w:tr>
      <w:tr w:rsidR="0054422B" w:rsidRPr="00500C4E" w14:paraId="63B310F0" w14:textId="77777777" w:rsidTr="00920905">
        <w:trPr>
          <w:trHeight w:val="465"/>
        </w:trPr>
        <w:tc>
          <w:tcPr>
            <w:tcW w:w="1875" w:type="pct"/>
          </w:tcPr>
          <w:p w14:paraId="5050E2A3" w14:textId="2CBF1387"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3738D0D8" w:rsidR="0054422B" w:rsidRPr="00500C4E" w:rsidRDefault="0054422B" w:rsidP="0054422B">
            <w:pPr>
              <w:rPr>
                <w:rFonts w:cs="Arial"/>
                <w:color w:val="FF0000"/>
                <w:szCs w:val="20"/>
              </w:rPr>
            </w:pPr>
            <w:r w:rsidRPr="00D14123">
              <w:rPr>
                <w:rFonts w:cstheme="minorHAnsi"/>
                <w:szCs w:val="20"/>
              </w:rPr>
              <w:t xml:space="preserve">Install automatic door closer on walk-in freezer </w:t>
            </w:r>
            <w:r>
              <w:rPr>
                <w:rFonts w:cstheme="minorHAnsi"/>
                <w:szCs w:val="20"/>
              </w:rPr>
              <w:t xml:space="preserve">or cooler </w:t>
            </w:r>
            <w:r w:rsidRPr="00D14123">
              <w:rPr>
                <w:rFonts w:cstheme="minorHAnsi"/>
                <w:szCs w:val="20"/>
              </w:rPr>
              <w:t>doors</w:t>
            </w:r>
          </w:p>
        </w:tc>
      </w:tr>
      <w:tr w:rsidR="0054422B" w:rsidRPr="00500C4E" w14:paraId="085771EF" w14:textId="77777777" w:rsidTr="00920905">
        <w:trPr>
          <w:trHeight w:val="465"/>
        </w:trPr>
        <w:tc>
          <w:tcPr>
            <w:tcW w:w="1875" w:type="pct"/>
          </w:tcPr>
          <w:p w14:paraId="679DB8A0" w14:textId="3D691398"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2C1E6619" w:rsidR="0054422B" w:rsidRPr="00500C4E" w:rsidRDefault="0054422B" w:rsidP="0054422B">
            <w:pPr>
              <w:rPr>
                <w:rFonts w:cs="Arial"/>
                <w:color w:val="FF0000"/>
                <w:szCs w:val="20"/>
              </w:rPr>
            </w:pPr>
            <w:r>
              <w:rPr>
                <w:rFonts w:cstheme="minorHAnsi"/>
                <w:szCs w:val="20"/>
              </w:rPr>
              <w:t xml:space="preserve">Existing </w:t>
            </w:r>
            <w:r w:rsidRPr="00D14123">
              <w:rPr>
                <w:rFonts w:cstheme="minorHAnsi"/>
                <w:szCs w:val="20"/>
              </w:rPr>
              <w:t>walk-in freezer</w:t>
            </w:r>
            <w:r>
              <w:rPr>
                <w:rFonts w:cstheme="minorHAnsi"/>
                <w:szCs w:val="20"/>
              </w:rPr>
              <w:t xml:space="preserve">s or coolers without an automatic door closer </w:t>
            </w:r>
          </w:p>
        </w:tc>
      </w:tr>
      <w:tr w:rsidR="0054422B" w:rsidRPr="00500C4E" w14:paraId="5C218003" w14:textId="77777777" w:rsidTr="00920905">
        <w:trPr>
          <w:trHeight w:val="465"/>
        </w:trPr>
        <w:tc>
          <w:tcPr>
            <w:tcW w:w="1875" w:type="pct"/>
          </w:tcPr>
          <w:p w14:paraId="1DBA889C" w14:textId="032192ED"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16273B15" w:rsidR="0054422B" w:rsidRPr="00500C4E" w:rsidRDefault="0054422B" w:rsidP="0054422B">
            <w:pPr>
              <w:rPr>
                <w:rFonts w:cs="Arial"/>
                <w:color w:val="FF0000"/>
                <w:szCs w:val="20"/>
              </w:rPr>
            </w:pPr>
            <w:r>
              <w:rPr>
                <w:rFonts w:cs="Arial"/>
                <w:szCs w:val="20"/>
              </w:rPr>
              <w:t>Per unit (Freezer or Cooler)</w:t>
            </w:r>
          </w:p>
        </w:tc>
      </w:tr>
      <w:tr w:rsidR="0054422B" w:rsidRPr="00500C4E" w14:paraId="66C8B424" w14:textId="77777777" w:rsidTr="00AE46A0">
        <w:trPr>
          <w:trHeight w:val="465"/>
        </w:trPr>
        <w:tc>
          <w:tcPr>
            <w:tcW w:w="1875" w:type="pct"/>
          </w:tcPr>
          <w:p w14:paraId="0C38E296" w14:textId="625EE0BE" w:rsidR="0054422B" w:rsidRPr="00920905" w:rsidRDefault="0054422B" w:rsidP="0054422B">
            <w:pPr>
              <w:rPr>
                <w:rStyle w:val="Strong1"/>
                <w:szCs w:val="20"/>
              </w:rPr>
            </w:pPr>
            <w:r w:rsidRPr="00500C4E">
              <w:rPr>
                <w:rStyle w:val="Strong"/>
                <w:rFonts w:asciiTheme="minorHAnsi" w:hAnsiTheme="minorHAnsi"/>
                <w:sz w:val="20"/>
                <w:szCs w:val="20"/>
              </w:rPr>
              <w:t>Energy Savings</w:t>
            </w:r>
          </w:p>
        </w:tc>
        <w:tc>
          <w:tcPr>
            <w:tcW w:w="3125" w:type="pct"/>
            <w:shd w:val="clear" w:color="auto" w:fill="auto"/>
          </w:tcPr>
          <w:p w14:paraId="7D5952C1" w14:textId="14EBC183" w:rsidR="0054422B" w:rsidRPr="00163269" w:rsidRDefault="0054422B" w:rsidP="0054422B">
            <w:pPr>
              <w:rPr>
                <w:rFonts w:cs="Arial"/>
                <w:szCs w:val="20"/>
              </w:rPr>
            </w:pPr>
            <w:r w:rsidRPr="00AE46A0">
              <w:rPr>
                <w:rFonts w:cs="Arial"/>
                <w:szCs w:val="20"/>
              </w:rPr>
              <w:t>Refer to Excel Calculation Attachment</w:t>
            </w:r>
            <w:r w:rsidR="00163269" w:rsidRPr="00163269">
              <w:rPr>
                <w:rFonts w:cs="Arial"/>
                <w:szCs w:val="20"/>
              </w:rPr>
              <w:t xml:space="preserve"> 1.</w:t>
            </w:r>
          </w:p>
        </w:tc>
      </w:tr>
      <w:tr w:rsidR="0054422B" w:rsidRPr="00500C4E" w14:paraId="3432D116" w14:textId="77777777" w:rsidTr="00AE46A0">
        <w:trPr>
          <w:trHeight w:val="465"/>
        </w:trPr>
        <w:tc>
          <w:tcPr>
            <w:tcW w:w="1875" w:type="pct"/>
          </w:tcPr>
          <w:p w14:paraId="3CB3B700" w14:textId="30D3563F" w:rsidR="0054422B" w:rsidRPr="00500C4E" w:rsidRDefault="0054422B" w:rsidP="0054422B">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shd w:val="clear" w:color="auto" w:fill="auto"/>
          </w:tcPr>
          <w:p w14:paraId="55804062" w14:textId="44165890" w:rsidR="0054422B" w:rsidRPr="00AE46A0" w:rsidRDefault="0054422B" w:rsidP="0054422B">
            <w:pPr>
              <w:rPr>
                <w:rFonts w:cs="Arial"/>
                <w:szCs w:val="20"/>
              </w:rPr>
            </w:pPr>
            <w:r w:rsidRPr="00AE46A0">
              <w:rPr>
                <w:rFonts w:cs="Arial"/>
                <w:szCs w:val="20"/>
              </w:rPr>
              <w:t>Refer to Excel Calculation Attachment</w:t>
            </w:r>
            <w:r w:rsidR="00201852">
              <w:rPr>
                <w:rFonts w:cs="Arial"/>
                <w:szCs w:val="20"/>
              </w:rPr>
              <w:t xml:space="preserve"> 1</w:t>
            </w:r>
            <w:r w:rsidR="00163269" w:rsidRPr="00AE46A0">
              <w:rPr>
                <w:rFonts w:cs="Arial"/>
                <w:szCs w:val="20"/>
              </w:rPr>
              <w:t>.</w:t>
            </w:r>
          </w:p>
        </w:tc>
      </w:tr>
      <w:tr w:rsidR="0054422B" w:rsidRPr="00500C4E" w14:paraId="2D16677E" w14:textId="77777777" w:rsidTr="00AE46A0">
        <w:trPr>
          <w:trHeight w:val="465"/>
        </w:trPr>
        <w:tc>
          <w:tcPr>
            <w:tcW w:w="1875" w:type="pct"/>
          </w:tcPr>
          <w:p w14:paraId="1C8BF889" w14:textId="6745F31A"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shd w:val="clear" w:color="auto" w:fill="auto"/>
          </w:tcPr>
          <w:p w14:paraId="40CA5472" w14:textId="7017EF6A" w:rsidR="0054422B" w:rsidRPr="00AE46A0" w:rsidRDefault="0054422B" w:rsidP="0054422B">
            <w:pPr>
              <w:rPr>
                <w:rFonts w:cs="Arial"/>
                <w:szCs w:val="20"/>
              </w:rPr>
            </w:pPr>
            <w:r w:rsidRPr="00AE46A0">
              <w:rPr>
                <w:rFonts w:cs="Arial"/>
                <w:szCs w:val="20"/>
              </w:rPr>
              <w:t>Refer to Excel Calculation Attachment</w:t>
            </w:r>
            <w:r w:rsidR="00201852">
              <w:rPr>
                <w:rFonts w:cs="Arial"/>
                <w:szCs w:val="20"/>
              </w:rPr>
              <w:t xml:space="preserve"> 1</w:t>
            </w:r>
            <w:r w:rsidR="00163269" w:rsidRPr="00AE46A0">
              <w:rPr>
                <w:rFonts w:cs="Arial"/>
                <w:szCs w:val="20"/>
              </w:rPr>
              <w:t>.</w:t>
            </w:r>
          </w:p>
        </w:tc>
      </w:tr>
      <w:tr w:rsidR="0000166B" w:rsidRPr="0000166B" w14:paraId="466E1409" w14:textId="77777777" w:rsidTr="00920905">
        <w:trPr>
          <w:trHeight w:val="465"/>
        </w:trPr>
        <w:tc>
          <w:tcPr>
            <w:tcW w:w="1875" w:type="pct"/>
          </w:tcPr>
          <w:p w14:paraId="4F8D0A97" w14:textId="25FD4E84" w:rsidR="0054422B" w:rsidRPr="0000166B" w:rsidRDefault="0054422B" w:rsidP="0054422B">
            <w:pPr>
              <w:rPr>
                <w:rStyle w:val="Strong"/>
                <w:rFonts w:asciiTheme="minorHAnsi" w:hAnsiTheme="minorHAnsi"/>
                <w:color w:val="FF0000"/>
                <w:sz w:val="20"/>
                <w:szCs w:val="20"/>
              </w:rPr>
            </w:pPr>
            <w:r w:rsidRPr="00024C62">
              <w:rPr>
                <w:rStyle w:val="Strong"/>
                <w:rFonts w:asciiTheme="minorHAnsi" w:hAnsiTheme="minorHAnsi"/>
                <w:sz w:val="20"/>
                <w:szCs w:val="20"/>
              </w:rPr>
              <w:t>Effective Useful Life</w:t>
            </w:r>
          </w:p>
        </w:tc>
        <w:tc>
          <w:tcPr>
            <w:tcW w:w="3125" w:type="pct"/>
          </w:tcPr>
          <w:p w14:paraId="70DC1712" w14:textId="16F21DD9" w:rsidR="00867D8B" w:rsidRPr="00810947" w:rsidRDefault="00867D8B" w:rsidP="00435F2E">
            <w:pPr>
              <w:rPr>
                <w:rFonts w:cs="Arial"/>
                <w:szCs w:val="20"/>
              </w:rPr>
            </w:pPr>
            <w:r w:rsidRPr="00810947">
              <w:t>6.67 years</w:t>
            </w:r>
            <w:r w:rsidR="001F11B9">
              <w:t>,</w:t>
            </w:r>
            <w:r w:rsidRPr="00810947">
              <w:t xml:space="preserve"> </w:t>
            </w:r>
            <w:r w:rsidR="00F454B5">
              <w:t xml:space="preserve">capped </w:t>
            </w:r>
            <w:r w:rsidR="00F454B5" w:rsidRPr="00F454B5">
              <w:t>at the RUL</w:t>
            </w:r>
            <w:r w:rsidR="00F454B5">
              <w:t xml:space="preserve"> of the </w:t>
            </w:r>
            <w:r w:rsidR="00007642">
              <w:t xml:space="preserve">host equipment of </w:t>
            </w:r>
            <w:r w:rsidR="00F454B5">
              <w:t>walk-in coolers and freezers.</w:t>
            </w:r>
          </w:p>
        </w:tc>
      </w:tr>
      <w:tr w:rsidR="0054422B" w:rsidRPr="00500C4E" w14:paraId="6FFAAB3B" w14:textId="77777777" w:rsidTr="00920905">
        <w:trPr>
          <w:trHeight w:val="465"/>
        </w:trPr>
        <w:tc>
          <w:tcPr>
            <w:tcW w:w="1875" w:type="pct"/>
          </w:tcPr>
          <w:p w14:paraId="080378E9" w14:textId="7C2015E0"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252E3195" w:rsidR="0054422B" w:rsidRPr="00810947" w:rsidRDefault="00BA47F2" w:rsidP="00BA47F2">
            <w:pPr>
              <w:rPr>
                <w:rFonts w:cs="Arial"/>
                <w:szCs w:val="20"/>
              </w:rPr>
            </w:pPr>
            <w:r>
              <w:rPr>
                <w:rFonts w:cs="Arial"/>
                <w:szCs w:val="20"/>
              </w:rPr>
              <w:t xml:space="preserve">REA – </w:t>
            </w:r>
            <w:r>
              <w:rPr>
                <w:sz w:val="18"/>
                <w:szCs w:val="18"/>
              </w:rPr>
              <w:t xml:space="preserve">Retrofit Add-on </w:t>
            </w:r>
          </w:p>
        </w:tc>
      </w:tr>
      <w:tr w:rsidR="0054422B" w:rsidRPr="00500C4E" w14:paraId="2EA80FC2" w14:textId="77777777" w:rsidTr="00920905">
        <w:trPr>
          <w:trHeight w:val="465"/>
        </w:trPr>
        <w:tc>
          <w:tcPr>
            <w:tcW w:w="1875" w:type="pct"/>
          </w:tcPr>
          <w:p w14:paraId="7E87F403" w14:textId="5683C17E"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70D2956E" w14:textId="757CAB9B" w:rsidR="0054422B" w:rsidRDefault="00126163" w:rsidP="0054422B">
            <w:pPr>
              <w:rPr>
                <w:rFonts w:cstheme="minorHAnsi"/>
                <w:szCs w:val="20"/>
              </w:rPr>
            </w:pPr>
            <w:r w:rsidRPr="00550FB9">
              <w:rPr>
                <w:rFonts w:cstheme="minorHAnsi"/>
                <w:szCs w:val="20"/>
              </w:rPr>
              <w:t>Com-Default&gt;2yrs</w:t>
            </w:r>
            <w:r w:rsidRPr="00A614FA">
              <w:rPr>
                <w:rFonts w:cstheme="minorHAnsi"/>
                <w:szCs w:val="20"/>
              </w:rPr>
              <w:t xml:space="preserve"> </w:t>
            </w:r>
          </w:p>
          <w:p w14:paraId="40A9016A" w14:textId="38FC40A0" w:rsidR="00126163" w:rsidRPr="00500C4E" w:rsidRDefault="00126163" w:rsidP="0054422B">
            <w:pPr>
              <w:rPr>
                <w:rFonts w:cs="Arial"/>
                <w:color w:val="FF0000"/>
                <w:szCs w:val="20"/>
              </w:rPr>
            </w:pP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7"/>
        <w:gridCol w:w="1210"/>
        <w:gridCol w:w="1511"/>
        <w:gridCol w:w="6318"/>
      </w:tblGrid>
      <w:tr w:rsidR="003845E5" w:rsidRPr="00500C4E" w14:paraId="5AFD7FBC" w14:textId="77777777" w:rsidTr="00AE46A0">
        <w:trPr>
          <w:trHeight w:val="20"/>
        </w:trPr>
        <w:tc>
          <w:tcPr>
            <w:tcW w:w="280" w:type="pct"/>
            <w:shd w:val="clear" w:color="auto" w:fill="D9D9D9" w:themeFill="background1" w:themeFillShade="D9"/>
          </w:tcPr>
          <w:p w14:paraId="52E1F882" w14:textId="5B461D80" w:rsidR="00933188" w:rsidRPr="00500C4E" w:rsidRDefault="003845E5" w:rsidP="00AC2AB9">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AC2AB9">
            <w:pPr>
              <w:rPr>
                <w:rFonts w:cstheme="minorHAnsi"/>
                <w:b/>
                <w:bCs/>
                <w:szCs w:val="20"/>
              </w:rPr>
            </w:pPr>
            <w:r w:rsidRPr="00920905">
              <w:rPr>
                <w:rFonts w:cstheme="minorHAnsi"/>
                <w:b/>
                <w:szCs w:val="20"/>
              </w:rPr>
              <w:t>Date</w:t>
            </w:r>
          </w:p>
        </w:tc>
        <w:tc>
          <w:tcPr>
            <w:tcW w:w="789" w:type="pct"/>
            <w:shd w:val="clear" w:color="auto" w:fill="D9D9D9" w:themeFill="background1" w:themeFillShade="D9"/>
          </w:tcPr>
          <w:p w14:paraId="35319158" w14:textId="1CEA4CD6" w:rsidR="00933188" w:rsidRPr="00500C4E" w:rsidRDefault="003845E5" w:rsidP="00AC2AB9">
            <w:pPr>
              <w:rPr>
                <w:rFonts w:cstheme="minorHAnsi"/>
                <w:b/>
                <w:bCs/>
                <w:szCs w:val="20"/>
              </w:rPr>
            </w:pPr>
            <w:r>
              <w:rPr>
                <w:rFonts w:cstheme="minorHAnsi"/>
                <w:b/>
                <w:szCs w:val="20"/>
              </w:rPr>
              <w:t>Author</w:t>
            </w:r>
          </w:p>
        </w:tc>
        <w:tc>
          <w:tcPr>
            <w:tcW w:w="3299" w:type="pct"/>
            <w:shd w:val="clear" w:color="auto" w:fill="D9D9D9" w:themeFill="background1" w:themeFillShade="D9"/>
          </w:tcPr>
          <w:p w14:paraId="49A1B083" w14:textId="77777777" w:rsidR="00933188" w:rsidRPr="00500C4E" w:rsidRDefault="00933188" w:rsidP="00AC2AB9">
            <w:pPr>
              <w:rPr>
                <w:rFonts w:cstheme="minorHAnsi"/>
                <w:b/>
                <w:bCs/>
                <w:szCs w:val="20"/>
              </w:rPr>
            </w:pPr>
            <w:r w:rsidRPr="00920905">
              <w:rPr>
                <w:rFonts w:cstheme="minorHAnsi"/>
                <w:b/>
                <w:szCs w:val="20"/>
              </w:rPr>
              <w:t>Summary of Changes</w:t>
            </w:r>
          </w:p>
        </w:tc>
      </w:tr>
      <w:tr w:rsidR="00AE476A" w:rsidRPr="00500C4E" w14:paraId="78A60224" w14:textId="77777777" w:rsidTr="00AE46A0">
        <w:trPr>
          <w:trHeight w:val="20"/>
        </w:trPr>
        <w:tc>
          <w:tcPr>
            <w:tcW w:w="280" w:type="pct"/>
          </w:tcPr>
          <w:p w14:paraId="4AD2CA26" w14:textId="421D0D5F" w:rsidR="00AE476A" w:rsidRDefault="00163269" w:rsidP="00AC2AB9">
            <w:pPr>
              <w:rPr>
                <w:rFonts w:cstheme="minorHAnsi"/>
                <w:szCs w:val="20"/>
              </w:rPr>
            </w:pPr>
            <w:r>
              <w:rPr>
                <w:rFonts w:cstheme="minorHAnsi"/>
                <w:szCs w:val="20"/>
              </w:rPr>
              <w:t>0</w:t>
            </w:r>
          </w:p>
        </w:tc>
        <w:tc>
          <w:tcPr>
            <w:tcW w:w="632" w:type="pct"/>
          </w:tcPr>
          <w:p w14:paraId="13A1EB8C" w14:textId="74C0D173" w:rsidR="00AE476A" w:rsidRDefault="00AE476A" w:rsidP="00AC2AB9">
            <w:pPr>
              <w:rPr>
                <w:rFonts w:cstheme="minorHAnsi"/>
                <w:szCs w:val="20"/>
              </w:rPr>
            </w:pPr>
            <w:r>
              <w:rPr>
                <w:rFonts w:cstheme="minorHAnsi"/>
                <w:szCs w:val="20"/>
              </w:rPr>
              <w:t>10/23/2016</w:t>
            </w:r>
          </w:p>
        </w:tc>
        <w:tc>
          <w:tcPr>
            <w:tcW w:w="789" w:type="pct"/>
          </w:tcPr>
          <w:p w14:paraId="45D6283C" w14:textId="0F43A416" w:rsidR="00AE476A" w:rsidRPr="00024C62" w:rsidRDefault="00AE476A" w:rsidP="00AC2AB9">
            <w:pPr>
              <w:rPr>
                <w:rFonts w:cstheme="minorHAnsi"/>
                <w:szCs w:val="20"/>
              </w:rPr>
            </w:pPr>
            <w:r w:rsidRPr="00024C62">
              <w:rPr>
                <w:rFonts w:cstheme="minorHAnsi"/>
                <w:szCs w:val="20"/>
              </w:rPr>
              <w:t xml:space="preserve">Theodore </w:t>
            </w:r>
            <w:proofErr w:type="spellStart"/>
            <w:r w:rsidRPr="00024C62">
              <w:rPr>
                <w:rFonts w:cstheme="minorHAnsi"/>
                <w:szCs w:val="20"/>
              </w:rPr>
              <w:t>D’Williams</w:t>
            </w:r>
            <w:proofErr w:type="spellEnd"/>
            <w:r w:rsidRPr="00024C62">
              <w:rPr>
                <w:rFonts w:cstheme="minorHAnsi"/>
                <w:szCs w:val="20"/>
              </w:rPr>
              <w:t>/TRC</w:t>
            </w:r>
          </w:p>
        </w:tc>
        <w:tc>
          <w:tcPr>
            <w:tcW w:w="3299" w:type="pct"/>
          </w:tcPr>
          <w:p w14:paraId="286E23E2" w14:textId="6F96D617" w:rsidR="00163269" w:rsidRPr="00024C62" w:rsidRDefault="00163269" w:rsidP="00AE476A">
            <w:pPr>
              <w:pStyle w:val="ListParagraph"/>
              <w:numPr>
                <w:ilvl w:val="0"/>
                <w:numId w:val="42"/>
              </w:numPr>
              <w:ind w:left="227" w:hanging="270"/>
              <w:rPr>
                <w:rFonts w:cstheme="minorHAnsi"/>
                <w:bCs/>
                <w:szCs w:val="20"/>
              </w:rPr>
            </w:pPr>
            <w:r w:rsidRPr="00024C62">
              <w:rPr>
                <w:rFonts w:cstheme="minorHAnsi"/>
                <w:bCs/>
                <w:szCs w:val="20"/>
              </w:rPr>
              <w:t>This Work paper is a</w:t>
            </w:r>
            <w:r w:rsidR="00437038" w:rsidRPr="00024C62">
              <w:rPr>
                <w:rFonts w:cstheme="minorHAnsi"/>
                <w:bCs/>
                <w:szCs w:val="20"/>
              </w:rPr>
              <w:t xml:space="preserve">n update </w:t>
            </w:r>
            <w:r w:rsidRPr="00024C62">
              <w:rPr>
                <w:rFonts w:cstheme="minorHAnsi"/>
                <w:bCs/>
                <w:szCs w:val="20"/>
              </w:rPr>
              <w:t>of SCE13RN024.3</w:t>
            </w:r>
          </w:p>
          <w:p w14:paraId="7D0ABED6" w14:textId="053A06B4" w:rsidR="00AE476A" w:rsidRPr="00024C62" w:rsidRDefault="002A10D7" w:rsidP="00AE476A">
            <w:pPr>
              <w:pStyle w:val="ListParagraph"/>
              <w:numPr>
                <w:ilvl w:val="0"/>
                <w:numId w:val="42"/>
              </w:numPr>
              <w:ind w:left="227" w:hanging="270"/>
              <w:rPr>
                <w:rFonts w:cstheme="minorHAnsi"/>
                <w:bCs/>
                <w:szCs w:val="20"/>
              </w:rPr>
            </w:pPr>
            <w:r w:rsidRPr="00024C62">
              <w:t>New calculation template for 2</w:t>
            </w:r>
            <w:r w:rsidR="00AE476A" w:rsidRPr="00024C62">
              <w:t>017</w:t>
            </w:r>
            <w:r w:rsidRPr="00024C62">
              <w:t xml:space="preserve"> program year</w:t>
            </w:r>
          </w:p>
          <w:p w14:paraId="3FBD1AD8" w14:textId="77777777" w:rsidR="00AE476A" w:rsidRPr="00024C62" w:rsidRDefault="00437038" w:rsidP="00867D8B">
            <w:pPr>
              <w:pStyle w:val="ListParagraph"/>
              <w:numPr>
                <w:ilvl w:val="0"/>
                <w:numId w:val="42"/>
              </w:numPr>
              <w:ind w:left="227" w:hanging="270"/>
              <w:rPr>
                <w:rFonts w:cstheme="minorHAnsi"/>
                <w:bCs/>
                <w:szCs w:val="20"/>
              </w:rPr>
            </w:pPr>
            <w:r w:rsidRPr="00024C62">
              <w:t>Gross</w:t>
            </w:r>
            <w:r w:rsidR="00BB4596" w:rsidRPr="00024C62">
              <w:t xml:space="preserve">  </w:t>
            </w:r>
            <w:r w:rsidR="00AE476A" w:rsidRPr="00024C62">
              <w:t xml:space="preserve">and incremental </w:t>
            </w:r>
            <w:r w:rsidRPr="00024C62">
              <w:t xml:space="preserve">measure </w:t>
            </w:r>
            <w:r w:rsidR="00AE476A" w:rsidRPr="00024C62">
              <w:t>cost</w:t>
            </w:r>
            <w:r w:rsidR="00BB4596" w:rsidRPr="00024C62">
              <w:t xml:space="preserve">s  </w:t>
            </w:r>
            <w:r w:rsidR="00AE476A" w:rsidRPr="00024C62">
              <w:t>update</w:t>
            </w:r>
            <w:r w:rsidR="00BB4596" w:rsidRPr="00024C62">
              <w:t>d</w:t>
            </w:r>
          </w:p>
          <w:p w14:paraId="43D25F7C" w14:textId="64D10721" w:rsidR="00867D8B" w:rsidRPr="00024C62" w:rsidRDefault="00867D8B" w:rsidP="00867D8B">
            <w:pPr>
              <w:pStyle w:val="ListParagraph"/>
              <w:numPr>
                <w:ilvl w:val="0"/>
                <w:numId w:val="42"/>
              </w:numPr>
              <w:ind w:left="227" w:hanging="270"/>
              <w:rPr>
                <w:rFonts w:cstheme="minorHAnsi"/>
                <w:bCs/>
                <w:szCs w:val="20"/>
              </w:rPr>
            </w:pPr>
            <w:r w:rsidRPr="00024C62">
              <w:t>Updated the EUL value in accordance with Draft Resolution E-4807 [</w:t>
            </w:r>
            <w:r w:rsidR="00B34F57">
              <w:t>D</w:t>
            </w:r>
            <w:r w:rsidRPr="00024C62">
              <w:t>]</w:t>
            </w:r>
          </w:p>
        </w:tc>
      </w:tr>
      <w:tr w:rsidR="00810947" w:rsidRPr="00810947" w14:paraId="4466762F" w14:textId="77777777" w:rsidTr="00AE46A0">
        <w:trPr>
          <w:trHeight w:val="20"/>
        </w:trPr>
        <w:tc>
          <w:tcPr>
            <w:tcW w:w="280" w:type="pct"/>
          </w:tcPr>
          <w:p w14:paraId="0B304E44" w14:textId="29D0D220" w:rsidR="0000166B" w:rsidRPr="00810947" w:rsidRDefault="0000166B" w:rsidP="00AC2AB9">
            <w:pPr>
              <w:rPr>
                <w:rFonts w:cstheme="minorHAnsi"/>
                <w:szCs w:val="20"/>
              </w:rPr>
            </w:pPr>
            <w:r w:rsidRPr="00810947">
              <w:rPr>
                <w:rFonts w:cstheme="minorHAnsi"/>
                <w:szCs w:val="20"/>
              </w:rPr>
              <w:t>1</w:t>
            </w:r>
          </w:p>
        </w:tc>
        <w:tc>
          <w:tcPr>
            <w:tcW w:w="632" w:type="pct"/>
          </w:tcPr>
          <w:p w14:paraId="5737371B" w14:textId="7BE97354" w:rsidR="0000166B" w:rsidRPr="00810947" w:rsidRDefault="0000166B" w:rsidP="00AC2AB9">
            <w:pPr>
              <w:rPr>
                <w:rFonts w:cstheme="minorHAnsi"/>
                <w:szCs w:val="20"/>
              </w:rPr>
            </w:pPr>
            <w:r w:rsidRPr="00810947">
              <w:rPr>
                <w:rFonts w:cstheme="minorHAnsi"/>
                <w:szCs w:val="20"/>
              </w:rPr>
              <w:t>10/16/2017</w:t>
            </w:r>
          </w:p>
        </w:tc>
        <w:tc>
          <w:tcPr>
            <w:tcW w:w="789" w:type="pct"/>
          </w:tcPr>
          <w:p w14:paraId="7C49EDAF" w14:textId="392B8A02" w:rsidR="00810947" w:rsidRPr="00810947" w:rsidRDefault="0000166B" w:rsidP="00201852">
            <w:pPr>
              <w:spacing w:after="120"/>
              <w:rPr>
                <w:rFonts w:cstheme="minorHAnsi"/>
                <w:szCs w:val="20"/>
              </w:rPr>
            </w:pPr>
            <w:r w:rsidRPr="00810947">
              <w:rPr>
                <w:rFonts w:cstheme="minorHAnsi"/>
                <w:szCs w:val="20"/>
              </w:rPr>
              <w:t xml:space="preserve">Yin </w:t>
            </w:r>
            <w:proofErr w:type="spellStart"/>
            <w:r w:rsidRPr="00810947">
              <w:rPr>
                <w:rFonts w:cstheme="minorHAnsi"/>
                <w:szCs w:val="20"/>
              </w:rPr>
              <w:t>Yin</w:t>
            </w:r>
            <w:proofErr w:type="spellEnd"/>
            <w:r w:rsidRPr="00810947">
              <w:rPr>
                <w:rFonts w:cstheme="minorHAnsi"/>
                <w:szCs w:val="20"/>
              </w:rPr>
              <w:t xml:space="preserve"> Wu/BASE Energy, Inc.</w:t>
            </w:r>
          </w:p>
        </w:tc>
        <w:tc>
          <w:tcPr>
            <w:tcW w:w="3299" w:type="pct"/>
          </w:tcPr>
          <w:p w14:paraId="3FF7668A" w14:textId="7E3AA47C" w:rsidR="00810947" w:rsidRPr="00810947" w:rsidRDefault="00810947" w:rsidP="0017687B">
            <w:pPr>
              <w:rPr>
                <w:rFonts w:cstheme="minorHAnsi"/>
                <w:bCs/>
                <w:szCs w:val="20"/>
              </w:rPr>
            </w:pPr>
            <w:r>
              <w:rPr>
                <w:rFonts w:cstheme="minorHAnsi"/>
                <w:bCs/>
                <w:szCs w:val="20"/>
              </w:rPr>
              <w:t xml:space="preserve">- NTG of Industrial and Agricultural are not applicable and removed. </w:t>
            </w:r>
          </w:p>
          <w:p w14:paraId="5AD9A1BD" w14:textId="7399DB21" w:rsidR="006B1484" w:rsidRDefault="006B1484" w:rsidP="0017687B">
            <w:pPr>
              <w:rPr>
                <w:rFonts w:cstheme="minorHAnsi"/>
                <w:bCs/>
                <w:szCs w:val="20"/>
              </w:rPr>
            </w:pPr>
            <w:r w:rsidRPr="00810947">
              <w:rPr>
                <w:rFonts w:cstheme="minorHAnsi"/>
                <w:bCs/>
                <w:szCs w:val="20"/>
              </w:rPr>
              <w:t xml:space="preserve">- Updated </w:t>
            </w:r>
            <w:r w:rsidR="008C4EB2">
              <w:rPr>
                <w:rFonts w:cstheme="minorHAnsi"/>
                <w:bCs/>
                <w:szCs w:val="20"/>
              </w:rPr>
              <w:t>Section 1.4.2</w:t>
            </w:r>
            <w:r w:rsidRPr="00810947">
              <w:rPr>
                <w:rFonts w:cstheme="minorHAnsi"/>
                <w:bCs/>
                <w:szCs w:val="20"/>
              </w:rPr>
              <w:t xml:space="preserve"> based on the latest </w:t>
            </w:r>
            <w:r w:rsidR="008C4EB2">
              <w:rPr>
                <w:rFonts w:cstheme="minorHAnsi"/>
                <w:bCs/>
                <w:szCs w:val="20"/>
              </w:rPr>
              <w:t xml:space="preserve">2017 </w:t>
            </w:r>
            <w:r w:rsidRPr="00810947">
              <w:rPr>
                <w:rFonts w:cstheme="minorHAnsi"/>
                <w:bCs/>
                <w:szCs w:val="20"/>
              </w:rPr>
              <w:t xml:space="preserve">Title-20 code version </w:t>
            </w:r>
          </w:p>
          <w:p w14:paraId="4B5C9FB0" w14:textId="77777777" w:rsidR="001F11B9" w:rsidRPr="00733C0C" w:rsidRDefault="001F11B9" w:rsidP="001F11B9">
            <w:pPr>
              <w:rPr>
                <w:rFonts w:cstheme="minorHAnsi"/>
                <w:bCs/>
                <w:szCs w:val="20"/>
              </w:rPr>
            </w:pPr>
            <w:r>
              <w:rPr>
                <w:rFonts w:cstheme="minorHAnsi"/>
                <w:bCs/>
                <w:szCs w:val="20"/>
              </w:rPr>
              <w:t>- DEER2017 values are checked. No change is made.</w:t>
            </w:r>
          </w:p>
          <w:p w14:paraId="3758B25B" w14:textId="0AC34B35" w:rsidR="00874DD2" w:rsidRPr="00810947" w:rsidRDefault="00874DD2" w:rsidP="0017687B">
            <w:pPr>
              <w:rPr>
                <w:rFonts w:cstheme="minorHAnsi"/>
                <w:bCs/>
                <w:szCs w:val="20"/>
              </w:rPr>
            </w:pPr>
            <w:r w:rsidRPr="00810947">
              <w:rPr>
                <w:rFonts w:cstheme="minorHAnsi"/>
                <w:bCs/>
                <w:szCs w:val="20"/>
              </w:rPr>
              <w:t xml:space="preserve">- </w:t>
            </w:r>
            <w:r w:rsidR="0013547E" w:rsidRPr="00810947">
              <w:rPr>
                <w:rFonts w:cstheme="minorHAnsi"/>
                <w:bCs/>
                <w:szCs w:val="20"/>
              </w:rPr>
              <w:t>The load shapes of E3 Alternate Building Type are updated</w:t>
            </w:r>
          </w:p>
          <w:p w14:paraId="3937A7A4" w14:textId="6A1EBB54" w:rsidR="0017687B" w:rsidRPr="00810947" w:rsidRDefault="0017687B" w:rsidP="0017687B">
            <w:pPr>
              <w:rPr>
                <w:rFonts w:cstheme="minorHAnsi"/>
                <w:bCs/>
                <w:szCs w:val="20"/>
              </w:rPr>
            </w:pPr>
            <w:r w:rsidRPr="00810947">
              <w:rPr>
                <w:rFonts w:cstheme="minorHAnsi"/>
                <w:bCs/>
                <w:szCs w:val="20"/>
              </w:rPr>
              <w:t xml:space="preserve">- The cost is updated using cost data </w:t>
            </w:r>
            <w:r w:rsidR="00784C6A" w:rsidRPr="00810947">
              <w:rPr>
                <w:rFonts w:cstheme="minorHAnsi"/>
                <w:bCs/>
                <w:szCs w:val="20"/>
              </w:rPr>
              <w:t>from</w:t>
            </w:r>
            <w:r w:rsidRPr="00810947">
              <w:rPr>
                <w:rFonts w:cstheme="minorHAnsi"/>
                <w:bCs/>
                <w:szCs w:val="20"/>
              </w:rPr>
              <w:t xml:space="preserve"> WO017</w:t>
            </w:r>
          </w:p>
          <w:p w14:paraId="3B303B79" w14:textId="4701945A" w:rsidR="0000166B" w:rsidRPr="00810947" w:rsidRDefault="0017687B" w:rsidP="0017687B">
            <w:pPr>
              <w:rPr>
                <w:rFonts w:cstheme="minorHAnsi"/>
                <w:bCs/>
                <w:szCs w:val="20"/>
              </w:rPr>
            </w:pPr>
            <w:r w:rsidRPr="00810947">
              <w:rPr>
                <w:rFonts w:cstheme="minorHAnsi"/>
                <w:bCs/>
                <w:szCs w:val="20"/>
              </w:rPr>
              <w:t>- The work paper calculation template</w:t>
            </w:r>
            <w:r w:rsidR="006B1484" w:rsidRPr="00810947">
              <w:rPr>
                <w:rFonts w:cstheme="minorHAnsi"/>
                <w:bCs/>
                <w:szCs w:val="20"/>
              </w:rPr>
              <w:t xml:space="preserve"> is updated using Version 6.7.4</w:t>
            </w:r>
          </w:p>
        </w:tc>
      </w:tr>
    </w:tbl>
    <w:p w14:paraId="656E2232" w14:textId="73125A2D"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23AB7D4" w:rsidR="008877AF" w:rsidRPr="0054422B" w:rsidRDefault="008877AF" w:rsidP="00A84BF9">
            <w:pPr>
              <w:rPr>
                <w:bCs/>
              </w:rPr>
            </w:pPr>
          </w:p>
        </w:tc>
        <w:tc>
          <w:tcPr>
            <w:tcW w:w="351" w:type="pct"/>
          </w:tcPr>
          <w:p w14:paraId="23988046" w14:textId="58E7086A" w:rsidR="008877AF" w:rsidRPr="0054422B" w:rsidRDefault="008877AF" w:rsidP="00A84BF9">
            <w:pPr>
              <w:rPr>
                <w:bCs/>
                <w:szCs w:val="20"/>
              </w:rPr>
            </w:pPr>
          </w:p>
        </w:tc>
        <w:tc>
          <w:tcPr>
            <w:tcW w:w="548" w:type="pct"/>
          </w:tcPr>
          <w:p w14:paraId="4AB37DB0" w14:textId="53AAC226" w:rsidR="008877AF" w:rsidRPr="0054422B" w:rsidRDefault="008877AF" w:rsidP="00A84BF9">
            <w:pPr>
              <w:rPr>
                <w:bCs/>
                <w:szCs w:val="20"/>
              </w:rPr>
            </w:pPr>
          </w:p>
        </w:tc>
        <w:tc>
          <w:tcPr>
            <w:tcW w:w="552" w:type="pct"/>
          </w:tcPr>
          <w:p w14:paraId="62E998F6" w14:textId="5905EEE6" w:rsidR="008877AF" w:rsidRPr="0054422B" w:rsidRDefault="008877AF" w:rsidP="00A84BF9">
            <w:pPr>
              <w:rPr>
                <w:bCs/>
                <w:szCs w:val="20"/>
              </w:rPr>
            </w:pPr>
          </w:p>
        </w:tc>
        <w:tc>
          <w:tcPr>
            <w:tcW w:w="1634" w:type="pct"/>
          </w:tcPr>
          <w:p w14:paraId="369DEEE8" w14:textId="1121CEC4" w:rsidR="008877AF" w:rsidRPr="0054422B" w:rsidRDefault="008877AF" w:rsidP="00347298">
            <w:pPr>
              <w:pStyle w:val="ListParagraph"/>
              <w:ind w:left="360"/>
              <w:rPr>
                <w:bCs/>
                <w:szCs w:val="20"/>
              </w:rPr>
            </w:pPr>
          </w:p>
        </w:tc>
        <w:tc>
          <w:tcPr>
            <w:tcW w:w="1634" w:type="pct"/>
          </w:tcPr>
          <w:p w14:paraId="1ECCFDB6" w14:textId="405ED518" w:rsidR="008877AF" w:rsidRPr="0054422B" w:rsidRDefault="008877AF" w:rsidP="00347298">
            <w:pPr>
              <w:pStyle w:val="ListParagraph"/>
              <w:ind w:left="360"/>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3AE2BFB7"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07845339" w14:textId="2D2F3AAB" w:rsidR="001D3223" w:rsidRPr="00AF7ECA" w:rsidRDefault="00AF7ECA" w:rsidP="001D3223">
      <w:pPr>
        <w:pStyle w:val="Reminders"/>
        <w:tabs>
          <w:tab w:val="num" w:pos="360"/>
        </w:tabs>
        <w:rPr>
          <w:rFonts w:asciiTheme="minorHAnsi" w:hAnsiTheme="minorHAnsi" w:cstheme="minorHAnsi"/>
          <w:i w:val="0"/>
          <w:color w:val="auto"/>
          <w:szCs w:val="22"/>
        </w:rPr>
      </w:pPr>
      <w:r w:rsidRPr="00810947">
        <w:rPr>
          <w:rFonts w:asciiTheme="minorHAnsi" w:hAnsiTheme="minorHAnsi" w:cstheme="minorHAnsi"/>
          <w:i w:val="0"/>
          <w:color w:val="auto"/>
          <w:szCs w:val="22"/>
        </w:rPr>
        <w:t xml:space="preserve">This work paper details the </w:t>
      </w:r>
      <w:r w:rsidR="00BA47F2" w:rsidRPr="00BA47F2">
        <w:rPr>
          <w:rFonts w:asciiTheme="minorHAnsi" w:hAnsiTheme="minorHAnsi" w:cstheme="minorHAnsi"/>
          <w:i w:val="0"/>
          <w:color w:val="auto"/>
          <w:szCs w:val="22"/>
        </w:rPr>
        <w:t>Retrofit Add-on (REA)</w:t>
      </w:r>
      <w:r w:rsidRPr="00810947">
        <w:rPr>
          <w:rFonts w:asciiTheme="minorHAnsi" w:hAnsiTheme="minorHAnsi" w:cstheme="minorHAnsi"/>
          <w:i w:val="0"/>
          <w:color w:val="auto"/>
          <w:szCs w:val="22"/>
        </w:rPr>
        <w:t xml:space="preserve"> of main door auto closers or walk in freezers and </w:t>
      </w:r>
      <w:r w:rsidRPr="00AF7ECA">
        <w:rPr>
          <w:rFonts w:asciiTheme="minorHAnsi" w:hAnsiTheme="minorHAnsi" w:cstheme="minorHAnsi"/>
          <w:i w:val="0"/>
          <w:color w:val="auto"/>
          <w:szCs w:val="22"/>
        </w:rPr>
        <w:t>coolers. The measure is to install auto closers on walk-ins where none was present.  The base case of the measure is an existing walk-in cooler or freezer door without a door closer.</w:t>
      </w:r>
    </w:p>
    <w:p w14:paraId="03DE33E5" w14:textId="77777777" w:rsidR="00AF7ECA" w:rsidRPr="00800706" w:rsidRDefault="00AF7ECA" w:rsidP="001D3223">
      <w:pPr>
        <w:pStyle w:val="Reminders"/>
        <w:tabs>
          <w:tab w:val="num" w:pos="360"/>
        </w:tabs>
        <w:rPr>
          <w:rFonts w:asciiTheme="minorHAnsi" w:hAnsiTheme="minorHAnsi" w:cstheme="minorHAnsi"/>
          <w:i w:val="0"/>
          <w:szCs w:val="22"/>
        </w:rPr>
      </w:pPr>
    </w:p>
    <w:p w14:paraId="1FFD38CC" w14:textId="2431E197" w:rsidR="00F171E1" w:rsidRPr="00920905" w:rsidRDefault="00F171E1" w:rsidP="00DA5082">
      <w:pPr>
        <w:pStyle w:val="Caption"/>
        <w:rPr>
          <w:b w:val="0"/>
          <w:szCs w:val="22"/>
        </w:rPr>
      </w:pPr>
      <w:r w:rsidRPr="00920905">
        <w:rPr>
          <w:szCs w:val="22"/>
        </w:rPr>
        <w:t>Base</w:t>
      </w:r>
      <w:r w:rsidR="00506628">
        <w:rPr>
          <w:szCs w:val="22"/>
        </w:rPr>
        <w:t>, Standard</w:t>
      </w:r>
      <w:r w:rsidRPr="00920905">
        <w:rPr>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24DA1BA3" w:rsidR="00D85F09" w:rsidRPr="00920905" w:rsidRDefault="00AF7ECA" w:rsidP="00920905">
            <w:pPr>
              <w:rPr>
                <w:szCs w:val="20"/>
              </w:rPr>
            </w:pPr>
            <w:r>
              <w:rPr>
                <w:rFonts w:cstheme="minorHAnsi"/>
                <w:sz w:val="22"/>
                <w:szCs w:val="22"/>
              </w:rPr>
              <w:t>Install auto closers on walk-ins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62106284" w:rsidR="00D85F09" w:rsidRPr="00920905" w:rsidRDefault="00AF7ECA" w:rsidP="00920905">
            <w:pPr>
              <w:rPr>
                <w:i/>
                <w:szCs w:val="20"/>
              </w:rPr>
            </w:pPr>
            <w:r>
              <w:rPr>
                <w:rFonts w:cstheme="minorHAnsi"/>
                <w:sz w:val="22"/>
                <w:szCs w:val="22"/>
              </w:rPr>
              <w:t>Existing walk-in cooler or freezer door without a door closer</w:t>
            </w:r>
          </w:p>
        </w:tc>
      </w:tr>
      <w:tr w:rsidR="002344FB" w:rsidRPr="00800706" w14:paraId="7FF41B99" w14:textId="77777777" w:rsidTr="00AE46A0">
        <w:trPr>
          <w:trHeight w:val="188"/>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20B78D8" w:rsidR="002344FB" w:rsidRPr="00AE46A0" w:rsidRDefault="002F34B1" w:rsidP="002F34B1">
            <w:pPr>
              <w:rPr>
                <w:color w:val="000000" w:themeColor="text1"/>
                <w:szCs w:val="20"/>
              </w:rPr>
            </w:pPr>
            <w:r>
              <w:rPr>
                <w:color w:val="000000" w:themeColor="text1"/>
                <w:szCs w:val="20"/>
              </w:rPr>
              <w:t xml:space="preserve">Automatic door closers installed on walk-ins </w:t>
            </w:r>
            <w:r>
              <w:rPr>
                <w:rFonts w:cstheme="minorHAnsi"/>
                <w:szCs w:val="22"/>
              </w:rPr>
              <w:t>manufactured on or after January 1, 2009</w:t>
            </w:r>
            <w:r>
              <w:rPr>
                <w:color w:val="000000" w:themeColor="text1"/>
                <w:szCs w:val="20"/>
              </w:rPr>
              <w:t xml:space="preserve"> </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1AC3703E" w:rsidR="00D85F09" w:rsidRPr="00AE46A0" w:rsidRDefault="00AE46A0" w:rsidP="00920905">
            <w:pPr>
              <w:rPr>
                <w:i/>
                <w:color w:val="000000" w:themeColor="text1"/>
                <w:szCs w:val="20"/>
              </w:rPr>
            </w:pPr>
            <w:r w:rsidRPr="00AE46A0">
              <w:rPr>
                <w:color w:val="000000" w:themeColor="text1"/>
                <w:szCs w:val="20"/>
              </w:rPr>
              <w:t>N/A</w:t>
            </w:r>
          </w:p>
        </w:tc>
      </w:tr>
    </w:tbl>
    <w:p w14:paraId="3D32C2EF" w14:textId="77777777" w:rsidR="00D85F09" w:rsidRPr="00800706" w:rsidRDefault="00D85F09" w:rsidP="00920905">
      <w:pPr>
        <w:pStyle w:val="NoSpacing"/>
      </w:pPr>
    </w:p>
    <w:p w14:paraId="00275FA1" w14:textId="569C4B80" w:rsidR="00AC5309" w:rsidRPr="00800706" w:rsidRDefault="00AC5309" w:rsidP="00DA5082">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A62D7F">
        <w:tc>
          <w:tcPr>
            <w:tcW w:w="2356" w:type="pct"/>
            <w:gridSpan w:val="4"/>
            <w:shd w:val="clear" w:color="auto" w:fill="D9D9D9" w:themeFill="background1" w:themeFillShade="D9"/>
          </w:tcPr>
          <w:p w14:paraId="528E7CD9" w14:textId="048A7F1B" w:rsidR="003A3170" w:rsidRPr="00920905" w:rsidRDefault="003A3170" w:rsidP="00A62D7F">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A62D7F">
            <w:pPr>
              <w:rPr>
                <w:rFonts w:cstheme="minorHAnsi"/>
                <w:b/>
                <w:szCs w:val="20"/>
              </w:rPr>
            </w:pPr>
            <w:r w:rsidRPr="00920905">
              <w:rPr>
                <w:rFonts w:cstheme="minorHAnsi"/>
                <w:b/>
                <w:szCs w:val="20"/>
              </w:rPr>
              <w:t>Measure Name</w:t>
            </w:r>
          </w:p>
        </w:tc>
      </w:tr>
      <w:tr w:rsidR="003A3170" w:rsidRPr="00800706" w14:paraId="0B10C1CA" w14:textId="77777777" w:rsidTr="00A62D7F">
        <w:tc>
          <w:tcPr>
            <w:tcW w:w="539" w:type="pct"/>
            <w:shd w:val="clear" w:color="auto" w:fill="F2F2F2" w:themeFill="background1" w:themeFillShade="F2"/>
          </w:tcPr>
          <w:p w14:paraId="01278571" w14:textId="40286C8C" w:rsidR="003A3170" w:rsidRPr="00800706" w:rsidRDefault="003A3170" w:rsidP="00A62D7F">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A62D7F">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A62D7F">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A62D7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A62D7F">
            <w:pPr>
              <w:rPr>
                <w:rFonts w:cstheme="minorHAnsi"/>
                <w:szCs w:val="20"/>
              </w:rPr>
            </w:pPr>
          </w:p>
        </w:tc>
      </w:tr>
      <w:tr w:rsidR="00AF7ECA" w:rsidRPr="00800706" w14:paraId="0290ADBE" w14:textId="77777777" w:rsidTr="00A62D7F">
        <w:trPr>
          <w:trHeight w:val="243"/>
        </w:trPr>
        <w:tc>
          <w:tcPr>
            <w:tcW w:w="539" w:type="pct"/>
          </w:tcPr>
          <w:p w14:paraId="1CE709CC" w14:textId="56A07DA7" w:rsidR="00AF7ECA" w:rsidRPr="00920905" w:rsidRDefault="00E52DF5" w:rsidP="00A62D7F">
            <w:pPr>
              <w:rPr>
                <w:rFonts w:cstheme="minorHAnsi"/>
                <w:color w:val="FF0000"/>
                <w:szCs w:val="20"/>
              </w:rPr>
            </w:pPr>
            <w:r w:rsidRPr="00E52DF5">
              <w:rPr>
                <w:rFonts w:cstheme="minorHAnsi"/>
                <w:szCs w:val="20"/>
              </w:rPr>
              <w:t>n/a</w:t>
            </w:r>
          </w:p>
        </w:tc>
        <w:tc>
          <w:tcPr>
            <w:tcW w:w="539" w:type="pct"/>
          </w:tcPr>
          <w:p w14:paraId="666F9F6A" w14:textId="77777777" w:rsidR="00AF7ECA" w:rsidRPr="00920905" w:rsidRDefault="00AF7ECA" w:rsidP="00A62D7F">
            <w:pPr>
              <w:rPr>
                <w:rFonts w:cstheme="minorHAnsi"/>
                <w:color w:val="FF0000"/>
                <w:szCs w:val="20"/>
              </w:rPr>
            </w:pPr>
          </w:p>
        </w:tc>
        <w:tc>
          <w:tcPr>
            <w:tcW w:w="605" w:type="pct"/>
          </w:tcPr>
          <w:p w14:paraId="63438A36" w14:textId="209D5E4E" w:rsidR="00AF7ECA" w:rsidRPr="00920905" w:rsidRDefault="00AF7ECA" w:rsidP="00A62D7F">
            <w:pPr>
              <w:rPr>
                <w:rFonts w:cstheme="minorHAnsi"/>
                <w:color w:val="FF0000"/>
                <w:szCs w:val="20"/>
              </w:rPr>
            </w:pPr>
            <w:bookmarkStart w:id="8" w:name="OLE_LINK1"/>
            <w:r>
              <w:rPr>
                <w:szCs w:val="20"/>
              </w:rPr>
              <w:t>RF-16925</w:t>
            </w:r>
            <w:r w:rsidRPr="000B6BF7">
              <w:rPr>
                <w:szCs w:val="20"/>
              </w:rPr>
              <w:t xml:space="preserve"> </w:t>
            </w:r>
            <w:bookmarkEnd w:id="8"/>
          </w:p>
        </w:tc>
        <w:tc>
          <w:tcPr>
            <w:tcW w:w="673" w:type="pct"/>
          </w:tcPr>
          <w:p w14:paraId="311A1841" w14:textId="7FD6A966" w:rsidR="00AF7ECA" w:rsidRPr="00920905" w:rsidRDefault="00AF7ECA" w:rsidP="00A62D7F">
            <w:pPr>
              <w:rPr>
                <w:rFonts w:cstheme="minorHAnsi"/>
                <w:color w:val="FF0000"/>
                <w:szCs w:val="20"/>
              </w:rPr>
            </w:pPr>
          </w:p>
        </w:tc>
        <w:tc>
          <w:tcPr>
            <w:tcW w:w="2644" w:type="pct"/>
          </w:tcPr>
          <w:p w14:paraId="512138E6" w14:textId="5232B6E8" w:rsidR="00AF7ECA" w:rsidRPr="00920905" w:rsidRDefault="00AF7ECA" w:rsidP="00A62D7F">
            <w:pPr>
              <w:rPr>
                <w:color w:val="FF0000"/>
              </w:rPr>
            </w:pPr>
            <w:r w:rsidRPr="00D14123">
              <w:rPr>
                <w:rFonts w:cstheme="minorHAnsi"/>
                <w:szCs w:val="20"/>
              </w:rPr>
              <w:t>Main Cooler Door Auto Closer</w:t>
            </w:r>
          </w:p>
        </w:tc>
      </w:tr>
      <w:tr w:rsidR="00AF7ECA" w:rsidRPr="00800706" w14:paraId="3EC8DDF0" w14:textId="77777777" w:rsidTr="00A62D7F">
        <w:trPr>
          <w:trHeight w:val="243"/>
        </w:trPr>
        <w:tc>
          <w:tcPr>
            <w:tcW w:w="539" w:type="pct"/>
          </w:tcPr>
          <w:p w14:paraId="036611DE" w14:textId="66014DB3" w:rsidR="00AF7ECA" w:rsidRPr="00350BF1" w:rsidRDefault="00E52DF5" w:rsidP="00A62D7F">
            <w:pPr>
              <w:rPr>
                <w:rFonts w:cstheme="minorHAnsi"/>
                <w:szCs w:val="20"/>
              </w:rPr>
            </w:pPr>
            <w:r>
              <w:rPr>
                <w:rFonts w:cstheme="minorHAnsi"/>
                <w:szCs w:val="20"/>
              </w:rPr>
              <w:t>n/a</w:t>
            </w:r>
          </w:p>
        </w:tc>
        <w:tc>
          <w:tcPr>
            <w:tcW w:w="539" w:type="pct"/>
          </w:tcPr>
          <w:p w14:paraId="7DC81BD5" w14:textId="77777777" w:rsidR="00AF7ECA" w:rsidRPr="00350BF1" w:rsidRDefault="00AF7ECA" w:rsidP="00A62D7F">
            <w:pPr>
              <w:rPr>
                <w:rFonts w:cstheme="minorHAnsi"/>
                <w:szCs w:val="20"/>
              </w:rPr>
            </w:pPr>
          </w:p>
        </w:tc>
        <w:tc>
          <w:tcPr>
            <w:tcW w:w="605" w:type="pct"/>
          </w:tcPr>
          <w:p w14:paraId="00E0B555" w14:textId="50379832" w:rsidR="00AF7ECA" w:rsidRPr="00350BF1" w:rsidRDefault="00AF7ECA" w:rsidP="00A62D7F">
            <w:pPr>
              <w:rPr>
                <w:rFonts w:cstheme="minorHAnsi"/>
                <w:szCs w:val="20"/>
              </w:rPr>
            </w:pPr>
            <w:r>
              <w:rPr>
                <w:szCs w:val="20"/>
              </w:rPr>
              <w:t>RF-32156</w:t>
            </w:r>
            <w:r w:rsidRPr="000B6BF7">
              <w:rPr>
                <w:szCs w:val="20"/>
              </w:rPr>
              <w:t xml:space="preserve"> </w:t>
            </w:r>
          </w:p>
        </w:tc>
        <w:tc>
          <w:tcPr>
            <w:tcW w:w="673" w:type="pct"/>
          </w:tcPr>
          <w:p w14:paraId="479924EB" w14:textId="77777777" w:rsidR="00AF7ECA" w:rsidRPr="00350BF1" w:rsidRDefault="00AF7ECA" w:rsidP="00A62D7F">
            <w:pPr>
              <w:rPr>
                <w:rFonts w:cstheme="minorHAnsi"/>
                <w:szCs w:val="20"/>
              </w:rPr>
            </w:pPr>
          </w:p>
        </w:tc>
        <w:tc>
          <w:tcPr>
            <w:tcW w:w="2644" w:type="pct"/>
          </w:tcPr>
          <w:p w14:paraId="592A1733" w14:textId="7E9FCB54" w:rsidR="00AF7ECA" w:rsidRPr="00920905" w:rsidRDefault="00AF7ECA" w:rsidP="00A62D7F">
            <w:r w:rsidRPr="00D14123">
              <w:rPr>
                <w:rFonts w:cstheme="minorHAnsi"/>
                <w:szCs w:val="20"/>
              </w:rPr>
              <w:t>Main Freezer Door Auto Closer</w:t>
            </w:r>
          </w:p>
        </w:tc>
      </w:tr>
    </w:tbl>
    <w:p w14:paraId="0066181D" w14:textId="77777777" w:rsidR="00AF7ECA" w:rsidRPr="00AF7ECA" w:rsidRDefault="00AF7ECA" w:rsidP="00AF7ECA">
      <w:pPr>
        <w:rPr>
          <w:rFonts w:cstheme="minorHAnsi"/>
          <w:szCs w:val="22"/>
        </w:rPr>
      </w:pPr>
    </w:p>
    <w:p w14:paraId="169130D3" w14:textId="77777777" w:rsidR="00AF7ECA" w:rsidRDefault="00AF7ECA" w:rsidP="00AF7ECA">
      <w:pPr>
        <w:rPr>
          <w:rFonts w:cstheme="minorHAnsi"/>
          <w:szCs w:val="22"/>
        </w:rPr>
      </w:pPr>
      <w:r w:rsidRPr="00E158F8">
        <w:rPr>
          <w:rFonts w:cstheme="minorHAnsi"/>
          <w:b/>
          <w:szCs w:val="22"/>
        </w:rPr>
        <w:t>Eligibility Requirements</w:t>
      </w:r>
    </w:p>
    <w:p w14:paraId="5B0ADD07" w14:textId="398EB8C7" w:rsidR="00AF7ECA" w:rsidRDefault="00AF7ECA" w:rsidP="00AF7ECA">
      <w:pPr>
        <w:pStyle w:val="ListParagraph"/>
        <w:numPr>
          <w:ilvl w:val="0"/>
          <w:numId w:val="35"/>
        </w:numPr>
        <w:rPr>
          <w:rFonts w:cstheme="minorHAnsi"/>
          <w:szCs w:val="22"/>
        </w:rPr>
      </w:pPr>
      <w:r>
        <w:rPr>
          <w:rFonts w:cstheme="minorHAnsi"/>
          <w:szCs w:val="22"/>
        </w:rPr>
        <w:t>The auto-closer must be applied to the main insulated opaque door(s) of an existing walk-in cooler or freezer</w:t>
      </w:r>
      <w:r w:rsidR="00B45300">
        <w:rPr>
          <w:rFonts w:cstheme="minorHAnsi"/>
          <w:szCs w:val="22"/>
        </w:rPr>
        <w:t xml:space="preserve"> that</w:t>
      </w:r>
      <w:r w:rsidR="00F55355">
        <w:rPr>
          <w:rFonts w:cstheme="minorHAnsi"/>
          <w:szCs w:val="22"/>
        </w:rPr>
        <w:t xml:space="preserve"> is not used for medical, scientific, or research purposes</w:t>
      </w:r>
      <w:r>
        <w:rPr>
          <w:rFonts w:cstheme="minorHAnsi"/>
          <w:szCs w:val="22"/>
        </w:rPr>
        <w:t>.</w:t>
      </w:r>
    </w:p>
    <w:p w14:paraId="4ACE2F3B" w14:textId="7EB11C60" w:rsidR="00AF7ECA" w:rsidRDefault="00AF7ECA" w:rsidP="00AF7ECA">
      <w:pPr>
        <w:pStyle w:val="ListParagraph"/>
        <w:numPr>
          <w:ilvl w:val="0"/>
          <w:numId w:val="35"/>
        </w:numPr>
        <w:rPr>
          <w:rFonts w:cstheme="minorHAnsi"/>
          <w:szCs w:val="22"/>
        </w:rPr>
      </w:pPr>
      <w:r>
        <w:rPr>
          <w:rFonts w:cstheme="minorHAnsi"/>
          <w:szCs w:val="22"/>
        </w:rPr>
        <w:t>The auto-closer must firmly close that door when it is within one inch of full closure.</w:t>
      </w:r>
      <w:r w:rsidR="00F55355">
        <w:rPr>
          <w:rFonts w:cstheme="minorHAnsi"/>
          <w:szCs w:val="22"/>
        </w:rPr>
        <w:t xml:space="preserve">   </w:t>
      </w:r>
    </w:p>
    <w:p w14:paraId="467072EF" w14:textId="520F5D4E" w:rsidR="00AF7ECA" w:rsidRPr="00ED08D3" w:rsidRDefault="00AF7ECA" w:rsidP="00AF7ECA">
      <w:pPr>
        <w:pStyle w:val="ListParagraph"/>
        <w:numPr>
          <w:ilvl w:val="0"/>
          <w:numId w:val="35"/>
        </w:numPr>
      </w:pPr>
      <w:r>
        <w:rPr>
          <w:rFonts w:cstheme="minorHAnsi"/>
          <w:szCs w:val="22"/>
        </w:rPr>
        <w:t>Auto-closer must be installed on a walk-in cooler or freezer manufactured before January 1, 2009.</w:t>
      </w:r>
      <w:r w:rsidR="00ED08D3">
        <w:rPr>
          <w:rFonts w:cstheme="minorHAnsi"/>
          <w:szCs w:val="22"/>
        </w:rPr>
        <w:t xml:space="preserve"> </w:t>
      </w:r>
    </w:p>
    <w:p w14:paraId="6D0E20DB" w14:textId="3AA8616B" w:rsidR="00ED08D3" w:rsidRPr="0061188A" w:rsidRDefault="00ED08D3" w:rsidP="00AF7ECA">
      <w:pPr>
        <w:pStyle w:val="ListParagraph"/>
        <w:numPr>
          <w:ilvl w:val="0"/>
          <w:numId w:val="35"/>
        </w:numPr>
      </w:pPr>
      <w:r>
        <w:rPr>
          <w:rFonts w:cstheme="minorHAnsi"/>
          <w:szCs w:val="22"/>
        </w:rPr>
        <w:t>The existing condition of the walk-in cooler or freezer door without a door closer n</w:t>
      </w:r>
      <w:r w:rsidR="0061188A">
        <w:rPr>
          <w:rFonts w:cstheme="minorHAnsi"/>
          <w:szCs w:val="22"/>
        </w:rPr>
        <w:t>eeds to be verified by any of the following:</w:t>
      </w:r>
    </w:p>
    <w:p w14:paraId="584B41E9" w14:textId="77777777" w:rsidR="0061188A" w:rsidRPr="0061188A" w:rsidRDefault="0061188A" w:rsidP="00E56122">
      <w:pPr>
        <w:pStyle w:val="ListParagraph"/>
        <w:numPr>
          <w:ilvl w:val="1"/>
          <w:numId w:val="35"/>
        </w:numPr>
      </w:pPr>
      <w:r>
        <w:rPr>
          <w:rFonts w:cstheme="minorHAnsi"/>
          <w:szCs w:val="22"/>
        </w:rPr>
        <w:t xml:space="preserve">Specification of existing equipment </w:t>
      </w:r>
    </w:p>
    <w:p w14:paraId="0F7F1031" w14:textId="7C31D2E8" w:rsidR="0061188A" w:rsidRPr="0061188A" w:rsidRDefault="0061188A" w:rsidP="00E56122">
      <w:pPr>
        <w:pStyle w:val="ListParagraph"/>
        <w:numPr>
          <w:ilvl w:val="1"/>
          <w:numId w:val="35"/>
        </w:numPr>
      </w:pPr>
      <w:r>
        <w:rPr>
          <w:rFonts w:cstheme="minorHAnsi"/>
          <w:szCs w:val="22"/>
        </w:rPr>
        <w:t>Or contractor verification</w:t>
      </w:r>
    </w:p>
    <w:p w14:paraId="274F2599" w14:textId="77FB3DB4" w:rsidR="0061188A" w:rsidRDefault="0061188A" w:rsidP="00E56122">
      <w:pPr>
        <w:pStyle w:val="ListParagraph"/>
        <w:numPr>
          <w:ilvl w:val="1"/>
          <w:numId w:val="35"/>
        </w:numPr>
      </w:pPr>
      <w:r>
        <w:t>Or the year of the walk-in cooler or freezer installed</w:t>
      </w:r>
    </w:p>
    <w:p w14:paraId="4CD8E078" w14:textId="68DA1AFC" w:rsidR="00AF7ECA"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036A9172" w14:textId="56C3E06B" w:rsidR="00AF7ECA" w:rsidRDefault="00AF7ECA" w:rsidP="00520B46">
      <w:pPr>
        <w:spacing w:after="120"/>
        <w:rPr>
          <w:rFonts w:cstheme="minorHAnsi"/>
          <w:szCs w:val="22"/>
        </w:rPr>
      </w:pPr>
      <w:r>
        <w:rPr>
          <w:rFonts w:cstheme="minorHAnsi"/>
          <w:szCs w:val="22"/>
        </w:rPr>
        <w:t xml:space="preserve">Auto-closers on walk-in freezers and coolers can reduce the amount of time that doors are open, thereby reducing infiltration and refrigeration loads.  </w:t>
      </w:r>
      <w:r w:rsidRPr="009725DE">
        <w:rPr>
          <w:rFonts w:cstheme="minorHAnsi"/>
          <w:szCs w:val="22"/>
        </w:rPr>
        <w:t>The measures in this work</w:t>
      </w:r>
      <w:r>
        <w:rPr>
          <w:rFonts w:cstheme="minorHAnsi"/>
          <w:szCs w:val="22"/>
        </w:rPr>
        <w:t xml:space="preserve"> </w:t>
      </w:r>
      <w:r w:rsidRPr="009725DE">
        <w:rPr>
          <w:rFonts w:cstheme="minorHAnsi"/>
          <w:szCs w:val="22"/>
        </w:rPr>
        <w:t xml:space="preserve">paper are from DEER </w:t>
      </w:r>
      <w:r>
        <w:rPr>
          <w:rFonts w:cstheme="minorHAnsi"/>
          <w:szCs w:val="22"/>
        </w:rPr>
        <w:t xml:space="preserve">2005 which </w:t>
      </w:r>
      <w:r w:rsidRPr="005D567E">
        <w:rPr>
          <w:rFonts w:cstheme="minorHAnsi"/>
          <w:szCs w:val="22"/>
        </w:rPr>
        <w:t xml:space="preserve">assumes that auto-closers reduce infiltration by 40% on average.  However, to update the measure to </w:t>
      </w:r>
      <w:r w:rsidR="00AD367F" w:rsidRPr="005D567E">
        <w:rPr>
          <w:rFonts w:cstheme="minorHAnsi"/>
          <w:szCs w:val="22"/>
        </w:rPr>
        <w:t xml:space="preserve">Title </w:t>
      </w:r>
      <w:r w:rsidR="00C71986" w:rsidRPr="005D567E">
        <w:rPr>
          <w:rFonts w:cstheme="minorHAnsi"/>
          <w:szCs w:val="22"/>
        </w:rPr>
        <w:t>2</w:t>
      </w:r>
      <w:r w:rsidR="00ED1C02">
        <w:rPr>
          <w:rFonts w:cstheme="minorHAnsi"/>
          <w:szCs w:val="22"/>
        </w:rPr>
        <w:t>0</w:t>
      </w:r>
      <w:r w:rsidR="00C71986" w:rsidRPr="005D567E">
        <w:rPr>
          <w:rFonts w:cstheme="minorHAnsi"/>
          <w:szCs w:val="22"/>
        </w:rPr>
        <w:t xml:space="preserve"> (</w:t>
      </w:r>
      <w:r w:rsidRPr="005D567E">
        <w:rPr>
          <w:rFonts w:cstheme="minorHAnsi"/>
          <w:szCs w:val="22"/>
        </w:rPr>
        <w:t>201</w:t>
      </w:r>
      <w:r w:rsidR="005D567E">
        <w:rPr>
          <w:rFonts w:cstheme="minorHAnsi"/>
          <w:szCs w:val="22"/>
        </w:rPr>
        <w:t>4</w:t>
      </w:r>
      <w:r w:rsidR="00C71986" w:rsidRPr="005D567E">
        <w:rPr>
          <w:rFonts w:cstheme="minorHAnsi"/>
          <w:szCs w:val="22"/>
        </w:rPr>
        <w:t>)</w:t>
      </w:r>
      <w:r w:rsidRPr="005D567E">
        <w:rPr>
          <w:rFonts w:cstheme="minorHAnsi"/>
          <w:szCs w:val="22"/>
        </w:rPr>
        <w:t xml:space="preserve"> </w:t>
      </w:r>
      <w:r w:rsidR="00C71986" w:rsidRPr="005D567E">
        <w:rPr>
          <w:rFonts w:cstheme="minorHAnsi"/>
          <w:szCs w:val="22"/>
        </w:rPr>
        <w:t>compliance</w:t>
      </w:r>
      <w:r>
        <w:rPr>
          <w:rFonts w:cstheme="minorHAnsi"/>
          <w:szCs w:val="22"/>
        </w:rPr>
        <w:t>, t</w:t>
      </w:r>
      <w:r w:rsidRPr="00C24B8C">
        <w:rPr>
          <w:rFonts w:cstheme="minorHAnsi"/>
          <w:szCs w:val="22"/>
        </w:rPr>
        <w:t xml:space="preserve">he </w:t>
      </w:r>
      <w:r w:rsidR="00AD367F">
        <w:rPr>
          <w:rFonts w:cstheme="minorHAnsi"/>
          <w:szCs w:val="22"/>
        </w:rPr>
        <w:t xml:space="preserve">customer average, </w:t>
      </w:r>
      <w:r w:rsidRPr="00C24B8C">
        <w:rPr>
          <w:rFonts w:cstheme="minorHAnsi"/>
          <w:szCs w:val="22"/>
        </w:rPr>
        <w:t xml:space="preserve">C13 </w:t>
      </w:r>
      <w:r w:rsidR="00AD367F">
        <w:rPr>
          <w:rFonts w:cstheme="minorHAnsi"/>
          <w:szCs w:val="22"/>
        </w:rPr>
        <w:t xml:space="preserve">(Code 13) </w:t>
      </w:r>
      <w:r w:rsidRPr="00C24B8C">
        <w:rPr>
          <w:rFonts w:cstheme="minorHAnsi"/>
          <w:szCs w:val="22"/>
        </w:rPr>
        <w:t>case model was used as the baseline for this work paper</w:t>
      </w:r>
      <w:r w:rsidRPr="009725DE">
        <w:rPr>
          <w:rFonts w:cstheme="minorHAnsi"/>
          <w:szCs w:val="22"/>
        </w:rPr>
        <w:t>.</w:t>
      </w:r>
      <w:r>
        <w:rPr>
          <w:rFonts w:cstheme="minorHAnsi"/>
          <w:szCs w:val="22"/>
        </w:rPr>
        <w:t xml:space="preserve"> </w:t>
      </w:r>
      <w:r w:rsidRPr="009725DE">
        <w:rPr>
          <w:rFonts w:cstheme="minorHAnsi"/>
          <w:szCs w:val="22"/>
        </w:rPr>
        <w:t xml:space="preserve">The </w:t>
      </w:r>
      <w:r>
        <w:rPr>
          <w:rFonts w:cstheme="minorHAnsi"/>
          <w:szCs w:val="22"/>
        </w:rPr>
        <w:t xml:space="preserve">base case of the measure is an existing walk-in cooler or freezer </w:t>
      </w:r>
      <w:r w:rsidRPr="00810947">
        <w:rPr>
          <w:rFonts w:cstheme="minorHAnsi"/>
          <w:szCs w:val="22"/>
        </w:rPr>
        <w:t>door without a door closer.</w:t>
      </w:r>
    </w:p>
    <w:p w14:paraId="33855E82" w14:textId="2A9E34F7" w:rsidR="00520B46" w:rsidRPr="00810947" w:rsidRDefault="00393FEC" w:rsidP="00520B46">
      <w:r>
        <w:t>A</w:t>
      </w:r>
      <w:r w:rsidRPr="00520B46">
        <w:t>ccording to the California Commerci</w:t>
      </w:r>
      <w:r>
        <w:t>al Saturation Survey [D], page ES</w:t>
      </w:r>
      <w:r w:rsidRPr="00520B46">
        <w:t>-2</w:t>
      </w:r>
      <w:r>
        <w:t>3</w:t>
      </w:r>
      <w:r w:rsidRPr="00520B46">
        <w:t>:</w:t>
      </w:r>
      <w:r>
        <w:t xml:space="preserve"> </w:t>
      </w:r>
      <w:r w:rsidRPr="00520B46">
        <w:t>"</w:t>
      </w:r>
      <w:r>
        <w:t xml:space="preserve">65% of Food/Liquor store </w:t>
      </w:r>
      <w:proofErr w:type="gramStart"/>
      <w:r>
        <w:t>freezer Walk-ins have</w:t>
      </w:r>
      <w:proofErr w:type="gramEnd"/>
      <w:r>
        <w:t xml:space="preserve"> strip curtains and 35% have door auto-closers.”</w:t>
      </w:r>
    </w:p>
    <w:p w14:paraId="11D9F41A" w14:textId="77777777" w:rsidR="00697868" w:rsidRPr="00810947" w:rsidRDefault="00697868" w:rsidP="00697868">
      <w:pPr>
        <w:pStyle w:val="Heading2"/>
        <w:rPr>
          <w:rFonts w:asciiTheme="minorHAnsi" w:hAnsiTheme="minorHAnsi"/>
        </w:rPr>
      </w:pPr>
      <w:r w:rsidRPr="00810947">
        <w:rPr>
          <w:rFonts w:asciiTheme="minorHAnsi" w:hAnsiTheme="minorHAnsi"/>
        </w:rPr>
        <w:lastRenderedPageBreak/>
        <w:t xml:space="preserve">1.3 </w:t>
      </w:r>
      <w:r w:rsidR="00AE0A8D" w:rsidRPr="00810947">
        <w:rPr>
          <w:rFonts w:asciiTheme="minorHAnsi" w:hAnsiTheme="minorHAnsi"/>
        </w:rPr>
        <w:t>Installation</w:t>
      </w:r>
      <w:r w:rsidR="00B4065F" w:rsidRPr="00810947">
        <w:rPr>
          <w:rFonts w:asciiTheme="minorHAnsi" w:hAnsiTheme="minorHAnsi"/>
        </w:rPr>
        <w:t xml:space="preserve"> Types</w:t>
      </w:r>
      <w:r w:rsidR="00C55D03" w:rsidRPr="00810947">
        <w:rPr>
          <w:rFonts w:asciiTheme="minorHAnsi" w:hAnsiTheme="minorHAnsi"/>
        </w:rPr>
        <w:t xml:space="preserve"> and Delivery</w:t>
      </w:r>
      <w:r w:rsidRPr="00810947">
        <w:rPr>
          <w:rFonts w:asciiTheme="minorHAnsi" w:hAnsiTheme="minorHAnsi"/>
        </w:rPr>
        <w:t xml:space="preserve"> </w:t>
      </w:r>
      <w:r w:rsidR="00B4065F" w:rsidRPr="00810947">
        <w:rPr>
          <w:rFonts w:asciiTheme="minorHAnsi" w:hAnsiTheme="minorHAnsi"/>
        </w:rPr>
        <w:t>Mechanisms</w:t>
      </w:r>
    </w:p>
    <w:p w14:paraId="49221CF7" w14:textId="77777777" w:rsidR="00AF7ECA" w:rsidRPr="00810947" w:rsidRDefault="00AF7ECA" w:rsidP="00AF7ECA">
      <w:pPr>
        <w:rPr>
          <w:rFonts w:ascii="Calibri" w:hAnsi="Calibri"/>
          <w:szCs w:val="22"/>
        </w:rPr>
      </w:pPr>
      <w:r w:rsidRPr="00810947">
        <w:rPr>
          <w:rFonts w:ascii="Calibri" w:hAnsi="Calibri"/>
          <w:szCs w:val="22"/>
        </w:rPr>
        <w:t>The program/install types for the above measures are:</w:t>
      </w:r>
    </w:p>
    <w:p w14:paraId="3CBE1AF4" w14:textId="07EA78A2" w:rsidR="00AF7ECA" w:rsidRPr="00810947" w:rsidRDefault="00BA47F2" w:rsidP="00BA47F2">
      <w:pPr>
        <w:pStyle w:val="ListParagraph"/>
        <w:numPr>
          <w:ilvl w:val="0"/>
          <w:numId w:val="38"/>
        </w:numPr>
        <w:rPr>
          <w:rFonts w:ascii="Calibri" w:hAnsi="Calibri"/>
          <w:szCs w:val="22"/>
        </w:rPr>
      </w:pPr>
      <w:r w:rsidRPr="00BA47F2">
        <w:rPr>
          <w:rFonts w:cstheme="minorHAnsi"/>
          <w:szCs w:val="22"/>
        </w:rPr>
        <w:t>Retrofit Add-on (REA )</w:t>
      </w:r>
    </w:p>
    <w:p w14:paraId="641CD9B5" w14:textId="4DE4573B" w:rsidR="00AF7ECA" w:rsidRPr="00810947" w:rsidRDefault="00AF7ECA" w:rsidP="00AF7ECA">
      <w:pPr>
        <w:rPr>
          <w:rFonts w:ascii="Calibri" w:hAnsi="Calibri"/>
          <w:szCs w:val="22"/>
        </w:rPr>
      </w:pPr>
      <w:r w:rsidRPr="00810947">
        <w:rPr>
          <w:rFonts w:ascii="Calibri" w:hAnsi="Calibri"/>
          <w:szCs w:val="22"/>
        </w:rPr>
        <w:t>The delivery method</w:t>
      </w:r>
      <w:r w:rsidR="00970EEF">
        <w:rPr>
          <w:rFonts w:ascii="Calibri" w:hAnsi="Calibri"/>
          <w:szCs w:val="22"/>
        </w:rPr>
        <w:t>s</w:t>
      </w:r>
      <w:r w:rsidRPr="00810947">
        <w:rPr>
          <w:rFonts w:ascii="Calibri" w:hAnsi="Calibri"/>
          <w:szCs w:val="22"/>
        </w:rPr>
        <w:t xml:space="preserve"> available for these measures </w:t>
      </w:r>
      <w:r w:rsidR="00970EEF">
        <w:rPr>
          <w:rFonts w:ascii="Calibri" w:hAnsi="Calibri"/>
          <w:szCs w:val="22"/>
        </w:rPr>
        <w:t>are</w:t>
      </w:r>
      <w:r w:rsidRPr="00810947">
        <w:rPr>
          <w:rFonts w:ascii="Calibri" w:hAnsi="Calibri"/>
          <w:szCs w:val="22"/>
        </w:rPr>
        <w:t>:</w:t>
      </w:r>
    </w:p>
    <w:p w14:paraId="6305B922" w14:textId="448EFF43" w:rsidR="0064729D" w:rsidRDefault="00AF7ECA" w:rsidP="00AF7ECA">
      <w:pPr>
        <w:pStyle w:val="Reminders"/>
        <w:numPr>
          <w:ilvl w:val="0"/>
          <w:numId w:val="37"/>
        </w:numPr>
        <w:rPr>
          <w:rFonts w:ascii="Calibri" w:hAnsi="Calibri" w:cs="Calibri"/>
          <w:i w:val="0"/>
          <w:color w:val="auto"/>
          <w:szCs w:val="22"/>
        </w:rPr>
      </w:pPr>
      <w:r w:rsidRPr="00810947">
        <w:rPr>
          <w:rFonts w:ascii="Calibri" w:hAnsi="Calibri"/>
          <w:i w:val="0"/>
          <w:color w:val="auto"/>
          <w:szCs w:val="22"/>
        </w:rPr>
        <w:t xml:space="preserve">Financial Support - </w:t>
      </w:r>
      <w:r w:rsidRPr="00810947">
        <w:rPr>
          <w:rFonts w:ascii="Calibri" w:hAnsi="Calibri" w:cs="Calibri"/>
          <w:i w:val="0"/>
          <w:color w:val="auto"/>
          <w:szCs w:val="22"/>
        </w:rPr>
        <w:t>Direct Install</w:t>
      </w:r>
    </w:p>
    <w:p w14:paraId="394EB283" w14:textId="4D0D16EC" w:rsidR="00ED08D3" w:rsidRDefault="00ED08D3" w:rsidP="00AF7ECA">
      <w:pPr>
        <w:pStyle w:val="Reminders"/>
        <w:numPr>
          <w:ilvl w:val="0"/>
          <w:numId w:val="37"/>
        </w:numPr>
        <w:rPr>
          <w:rFonts w:ascii="Calibri" w:hAnsi="Calibri" w:cs="Calibri"/>
          <w:i w:val="0"/>
          <w:color w:val="auto"/>
          <w:szCs w:val="22"/>
        </w:rPr>
      </w:pPr>
      <w:r>
        <w:rPr>
          <w:rFonts w:ascii="Calibri" w:hAnsi="Calibri"/>
          <w:i w:val="0"/>
          <w:color w:val="auto"/>
          <w:szCs w:val="22"/>
        </w:rPr>
        <w:t>Financial Support –</w:t>
      </w:r>
      <w:r>
        <w:rPr>
          <w:rFonts w:ascii="Calibri" w:hAnsi="Calibri" w:cs="Calibri"/>
          <w:i w:val="0"/>
          <w:color w:val="auto"/>
          <w:szCs w:val="22"/>
        </w:rPr>
        <w:t xml:space="preserve"> On-bill Finance – Loan (OBF)</w:t>
      </w:r>
    </w:p>
    <w:p w14:paraId="4CB59E18" w14:textId="6B2552E8" w:rsidR="00ED08D3" w:rsidRDefault="00ED08D3" w:rsidP="00ED08D3">
      <w:pPr>
        <w:pStyle w:val="Reminders"/>
        <w:numPr>
          <w:ilvl w:val="0"/>
          <w:numId w:val="37"/>
        </w:numPr>
        <w:rPr>
          <w:rFonts w:ascii="Calibri" w:hAnsi="Calibri" w:cs="Calibri"/>
          <w:i w:val="0"/>
          <w:color w:val="auto"/>
          <w:szCs w:val="22"/>
        </w:rPr>
      </w:pPr>
      <w:r>
        <w:rPr>
          <w:rFonts w:ascii="Calibri" w:hAnsi="Calibri"/>
          <w:i w:val="0"/>
          <w:color w:val="auto"/>
          <w:szCs w:val="22"/>
        </w:rPr>
        <w:t>Partnership</w:t>
      </w:r>
      <w:r w:rsidRPr="00810947">
        <w:rPr>
          <w:rFonts w:ascii="Calibri" w:hAnsi="Calibri"/>
          <w:i w:val="0"/>
          <w:color w:val="auto"/>
          <w:szCs w:val="22"/>
        </w:rPr>
        <w:t xml:space="preserve"> - </w:t>
      </w:r>
      <w:r w:rsidRPr="00810947">
        <w:rPr>
          <w:rFonts w:ascii="Calibri" w:hAnsi="Calibri" w:cs="Calibri"/>
          <w:i w:val="0"/>
          <w:color w:val="auto"/>
          <w:szCs w:val="22"/>
        </w:rPr>
        <w:t>Direct Install</w:t>
      </w:r>
    </w:p>
    <w:p w14:paraId="40DD79B5" w14:textId="106CC1E3" w:rsidR="00AF7ECA" w:rsidRDefault="00ED08D3" w:rsidP="00E56122">
      <w:pPr>
        <w:pStyle w:val="Reminders"/>
        <w:numPr>
          <w:ilvl w:val="0"/>
          <w:numId w:val="37"/>
        </w:numPr>
        <w:rPr>
          <w:rFonts w:asciiTheme="minorHAnsi" w:hAnsiTheme="minorHAnsi" w:cstheme="minorHAnsi"/>
          <w:i w:val="0"/>
          <w:szCs w:val="22"/>
        </w:rPr>
      </w:pPr>
      <w:r>
        <w:rPr>
          <w:rFonts w:ascii="Calibri" w:hAnsi="Calibri"/>
          <w:i w:val="0"/>
          <w:color w:val="auto"/>
          <w:szCs w:val="22"/>
        </w:rPr>
        <w:t>Partnership –</w:t>
      </w:r>
      <w:r>
        <w:rPr>
          <w:rFonts w:ascii="Calibri" w:hAnsi="Calibri" w:cs="Calibri"/>
          <w:i w:val="0"/>
          <w:color w:val="auto"/>
          <w:szCs w:val="22"/>
        </w:rPr>
        <w:t xml:space="preserve"> On-bill Finance – Loan (OBF)</w:t>
      </w:r>
    </w:p>
    <w:p w14:paraId="3CE37725" w14:textId="77777777" w:rsidR="00AF7ECA" w:rsidRDefault="00AF7ECA" w:rsidP="00697868">
      <w:pPr>
        <w:pStyle w:val="Reminders"/>
        <w:tabs>
          <w:tab w:val="num" w:pos="360"/>
        </w:tabs>
        <w:rPr>
          <w:rFonts w:asciiTheme="minorHAnsi" w:hAnsiTheme="minorHAnsi" w:cstheme="minorHAnsi"/>
          <w:i w:val="0"/>
          <w:szCs w:val="22"/>
        </w:rPr>
      </w:pPr>
    </w:p>
    <w:p w14:paraId="31BC2164" w14:textId="77777777" w:rsidR="00AF7ECA" w:rsidRPr="00500C4E" w:rsidRDefault="00AF7ECA" w:rsidP="00697868">
      <w:pPr>
        <w:pStyle w:val="Reminders"/>
        <w:tabs>
          <w:tab w:val="num" w:pos="360"/>
        </w:tabs>
        <w:rPr>
          <w:rFonts w:asciiTheme="minorHAnsi" w:hAnsiTheme="minorHAnsi" w:cstheme="minorHAnsi"/>
          <w:i w:val="0"/>
          <w:szCs w:val="22"/>
        </w:rPr>
      </w:pPr>
    </w:p>
    <w:p w14:paraId="6D9C3B45" w14:textId="2B0913E6" w:rsidR="001B2301" w:rsidRPr="00920905" w:rsidRDefault="00C05AAF" w:rsidP="00DA5082">
      <w:pPr>
        <w:pStyle w:val="Caption"/>
        <w:rPr>
          <w:rFonts w:cstheme="minorHAnsi"/>
          <w:b w:val="0"/>
          <w:i/>
        </w:rPr>
      </w:pPr>
      <w:r w:rsidRPr="00920905">
        <w:t>Installation Type</w:t>
      </w:r>
      <w:r w:rsidR="002469DD" w:rsidRPr="00920905">
        <w:t xml:space="preserve"> </w:t>
      </w:r>
      <w:r w:rsidR="006F1B21" w:rsidRPr="00920905">
        <w:t>D</w:t>
      </w:r>
      <w:r w:rsidR="002469DD" w:rsidRPr="00920905">
        <w:t>escription</w:t>
      </w:r>
      <w:r w:rsidR="006F1B21" w:rsidRPr="00920905">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810947" w:rsidRPr="00810947" w14:paraId="52538A14" w14:textId="77777777" w:rsidTr="006F1B21">
        <w:trPr>
          <w:trHeight w:val="20"/>
        </w:trPr>
        <w:tc>
          <w:tcPr>
            <w:tcW w:w="1778" w:type="pct"/>
          </w:tcPr>
          <w:p w14:paraId="249B41EA" w14:textId="1C924C6D" w:rsidR="006F1B21" w:rsidRPr="00810947" w:rsidRDefault="00BA47F2" w:rsidP="00E5625D">
            <w:pPr>
              <w:rPr>
                <w:sz w:val="18"/>
                <w:szCs w:val="18"/>
                <w:vertAlign w:val="superscript"/>
              </w:rPr>
            </w:pPr>
            <w:r w:rsidRPr="00BA47F2">
              <w:rPr>
                <w:sz w:val="18"/>
                <w:szCs w:val="18"/>
              </w:rPr>
              <w:t>Retrofit Add-on (REA )</w:t>
            </w:r>
          </w:p>
        </w:tc>
        <w:tc>
          <w:tcPr>
            <w:tcW w:w="1107" w:type="pct"/>
          </w:tcPr>
          <w:p w14:paraId="733C7F74" w14:textId="77777777" w:rsidR="006F1B21" w:rsidRPr="00810947" w:rsidRDefault="006F1B21" w:rsidP="00E5625D">
            <w:r w:rsidRPr="00810947">
              <w:rPr>
                <w:sz w:val="18"/>
                <w:szCs w:val="18"/>
              </w:rPr>
              <w:t>Above Customer Existing</w:t>
            </w:r>
          </w:p>
        </w:tc>
        <w:tc>
          <w:tcPr>
            <w:tcW w:w="1108" w:type="pct"/>
          </w:tcPr>
          <w:p w14:paraId="72F26FFC" w14:textId="164D1ACD" w:rsidR="006F1B21" w:rsidRPr="00810947" w:rsidRDefault="006F1B21" w:rsidP="00E5625D">
            <w:pPr>
              <w:rPr>
                <w:sz w:val="18"/>
                <w:szCs w:val="18"/>
              </w:rPr>
            </w:pPr>
          </w:p>
        </w:tc>
        <w:tc>
          <w:tcPr>
            <w:tcW w:w="481" w:type="pct"/>
          </w:tcPr>
          <w:p w14:paraId="4539002F" w14:textId="77777777" w:rsidR="006F1B21" w:rsidRPr="00810947" w:rsidRDefault="006F1B21" w:rsidP="00E5625D">
            <w:pPr>
              <w:rPr>
                <w:sz w:val="18"/>
                <w:szCs w:val="18"/>
              </w:rPr>
            </w:pPr>
            <w:r w:rsidRPr="00810947">
              <w:rPr>
                <w:sz w:val="18"/>
                <w:szCs w:val="18"/>
              </w:rPr>
              <w:t>EUL</w:t>
            </w:r>
          </w:p>
        </w:tc>
        <w:tc>
          <w:tcPr>
            <w:tcW w:w="526" w:type="pct"/>
          </w:tcPr>
          <w:p w14:paraId="36C8D9AD" w14:textId="2709DF73" w:rsidR="006F1B21" w:rsidRPr="00810947" w:rsidRDefault="006F1B21" w:rsidP="00E5625D">
            <w:pPr>
              <w:rPr>
                <w:sz w:val="18"/>
                <w:szCs w:val="18"/>
              </w:rPr>
            </w:pPr>
          </w:p>
        </w:tc>
      </w:tr>
    </w:tbl>
    <w:p w14:paraId="0A64125D" w14:textId="77777777" w:rsidR="003B7F01" w:rsidRDefault="003B7F01" w:rsidP="00920905">
      <w:pPr>
        <w:pStyle w:val="NoSpacing"/>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6403AD66" w:rsidR="00C05AAF" w:rsidRPr="00500C4E" w:rsidRDefault="00AA16C0" w:rsidP="00DA5082">
      <w:pPr>
        <w:pStyle w:val="Caption"/>
      </w:pPr>
      <w:r w:rsidRPr="00DE77D0">
        <w:t>Delivery Me</w:t>
      </w:r>
      <w:r>
        <w:t>thod</w:t>
      </w:r>
      <w:r w:rsidRPr="00DE77D0">
        <w:t xml:space="preserve"> </w:t>
      </w:r>
      <w:r>
        <w:t>D</w:t>
      </w:r>
      <w:r w:rsidRPr="00DE77D0">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435F2E" w:rsidRPr="00A3164A" w14:paraId="75C0C2D0" w14:textId="77777777" w:rsidTr="00435F2E">
        <w:tc>
          <w:tcPr>
            <w:tcW w:w="1297" w:type="pct"/>
          </w:tcPr>
          <w:p w14:paraId="03052E48" w14:textId="77777777" w:rsidR="00435F2E" w:rsidRPr="00920905" w:rsidRDefault="00435F2E" w:rsidP="00DD06C7">
            <w:pPr>
              <w:pStyle w:val="NoSpacing"/>
              <w:rPr>
                <w:color w:val="000000"/>
                <w:sz w:val="18"/>
                <w:szCs w:val="18"/>
              </w:rPr>
            </w:pPr>
            <w:r w:rsidRPr="00920905">
              <w:rPr>
                <w:rFonts w:eastAsiaTheme="minorHAnsi" w:cstheme="minorBidi"/>
                <w:sz w:val="18"/>
                <w:szCs w:val="18"/>
              </w:rPr>
              <w:t>Partnership</w:t>
            </w:r>
          </w:p>
        </w:tc>
        <w:tc>
          <w:tcPr>
            <w:tcW w:w="3703" w:type="pct"/>
          </w:tcPr>
          <w:p w14:paraId="78CD4443" w14:textId="77777777" w:rsidR="00435F2E" w:rsidRPr="00920905" w:rsidRDefault="00435F2E" w:rsidP="00DD06C7">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10FD2838" w:rsidR="00AA16C0" w:rsidRPr="00500C4E" w:rsidRDefault="00AA16C0" w:rsidP="00DA5082">
      <w:pPr>
        <w:pStyle w:val="Caption"/>
      </w:pPr>
      <w:r>
        <w:t>Incentive</w:t>
      </w:r>
      <w:r w:rsidRPr="00DE77D0">
        <w:t xml:space="preserve"> Me</w:t>
      </w:r>
      <w:r>
        <w:t>thod</w:t>
      </w:r>
      <w:r w:rsidRPr="00DE77D0">
        <w:t xml:space="preserve"> </w:t>
      </w:r>
      <w:r>
        <w:t>D</w:t>
      </w:r>
      <w:r w:rsidRPr="00DE77D0">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90E52B4" w:rsidR="001B2301" w:rsidRPr="00920905" w:rsidRDefault="001B2301" w:rsidP="00920905">
            <w:pPr>
              <w:autoSpaceDE w:val="0"/>
              <w:autoSpaceDN w:val="0"/>
              <w:adjustRightInd w:val="0"/>
              <w:spacing w:line="240" w:lineRule="atLeast"/>
              <w:rPr>
                <w:sz w:val="18"/>
                <w:szCs w:val="18"/>
              </w:rPr>
            </w:pPr>
          </w:p>
        </w:tc>
        <w:tc>
          <w:tcPr>
            <w:tcW w:w="3703" w:type="pct"/>
          </w:tcPr>
          <w:p w14:paraId="27B36998" w14:textId="34AC6CDD" w:rsidR="001B2301" w:rsidRPr="00920905" w:rsidRDefault="001B2301" w:rsidP="00920905">
            <w:pPr>
              <w:autoSpaceDE w:val="0"/>
              <w:autoSpaceDN w:val="0"/>
              <w:adjustRightInd w:val="0"/>
              <w:spacing w:line="240" w:lineRule="atLeast"/>
              <w:rPr>
                <w:sz w:val="18"/>
                <w:szCs w:val="18"/>
              </w:rPr>
            </w:pPr>
          </w:p>
        </w:tc>
      </w:tr>
      <w:tr w:rsidR="00435F2E" w:rsidRPr="00A3164A" w14:paraId="15420362" w14:textId="77777777" w:rsidTr="00435F2E">
        <w:tc>
          <w:tcPr>
            <w:tcW w:w="1297" w:type="pct"/>
          </w:tcPr>
          <w:p w14:paraId="4E23876D" w14:textId="77777777" w:rsidR="00435F2E" w:rsidRPr="00920905" w:rsidRDefault="00435F2E" w:rsidP="00DD06C7">
            <w:pPr>
              <w:rPr>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440F2D19" w14:textId="77777777" w:rsidR="00435F2E" w:rsidRPr="00920905" w:rsidRDefault="00435F2E" w:rsidP="00DD06C7">
            <w:pPr>
              <w:rPr>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2EEDC29A" w14:textId="60492890" w:rsidR="00AF7ECA" w:rsidRPr="00AF7ECA" w:rsidRDefault="00AF7ECA" w:rsidP="00AF7ECA">
      <w:pPr>
        <w:rPr>
          <w:rFonts w:cstheme="minorHAnsi"/>
          <w:szCs w:val="22"/>
        </w:rPr>
      </w:pPr>
      <w:r w:rsidRPr="00B32FBB">
        <w:rPr>
          <w:rFonts w:cstheme="minorHAnsi"/>
          <w:szCs w:val="22"/>
        </w:rPr>
        <w:t xml:space="preserve">The </w:t>
      </w:r>
      <w:r w:rsidR="00172BC7">
        <w:rPr>
          <w:rFonts w:cstheme="minorHAnsi"/>
          <w:szCs w:val="22"/>
        </w:rPr>
        <w:t>DEER Version 2014 1</w:t>
      </w:r>
      <w:r w:rsidR="00172BC7" w:rsidRPr="007B086C">
        <w:rPr>
          <w:rFonts w:cstheme="minorHAnsi"/>
          <w:szCs w:val="22"/>
        </w:rPr>
        <w:t>.0</w:t>
      </w:r>
      <w:r w:rsidR="00172BC7">
        <w:rPr>
          <w:rFonts w:cstheme="minorHAnsi"/>
          <w:szCs w:val="22"/>
        </w:rPr>
        <w:t xml:space="preserve">.5 [386] </w:t>
      </w:r>
      <w:r w:rsidRPr="00172BC7">
        <w:rPr>
          <w:rFonts w:cstheme="minorHAnsi"/>
          <w:szCs w:val="22"/>
        </w:rPr>
        <w:t>database</w:t>
      </w:r>
      <w:r w:rsidRPr="007B086C">
        <w:rPr>
          <w:rFonts w:cstheme="minorHAnsi"/>
          <w:szCs w:val="22"/>
        </w:rPr>
        <w:t xml:space="preserve"> contain</w:t>
      </w:r>
      <w:r>
        <w:rPr>
          <w:rFonts w:cstheme="minorHAnsi"/>
          <w:szCs w:val="22"/>
        </w:rPr>
        <w:t xml:space="preserve">s </w:t>
      </w:r>
      <w:r w:rsidRPr="007B086C">
        <w:rPr>
          <w:rFonts w:cstheme="minorHAnsi"/>
          <w:szCs w:val="22"/>
        </w:rPr>
        <w:t>measure</w:t>
      </w:r>
      <w:r>
        <w:rPr>
          <w:rFonts w:cstheme="minorHAnsi"/>
          <w:szCs w:val="22"/>
        </w:rPr>
        <w:t xml:space="preserve"> energy savings </w:t>
      </w:r>
      <w:r w:rsidRPr="007B086C">
        <w:rPr>
          <w:rFonts w:cstheme="minorHAnsi"/>
          <w:szCs w:val="22"/>
        </w:rPr>
        <w:t>and cost information for</w:t>
      </w:r>
      <w:r>
        <w:rPr>
          <w:rFonts w:cstheme="minorHAnsi"/>
          <w:szCs w:val="22"/>
        </w:rPr>
        <w:t xml:space="preserve"> </w:t>
      </w:r>
      <w:r w:rsidRPr="00C44831">
        <w:rPr>
          <w:rFonts w:cstheme="minorHAnsi"/>
          <w:szCs w:val="22"/>
        </w:rPr>
        <w:t xml:space="preserve">various measures as well as values from previous DEER versions. The applicable DEER Measure IDs D03-208 </w:t>
      </w:r>
      <w:r>
        <w:rPr>
          <w:rFonts w:cstheme="minorHAnsi"/>
          <w:szCs w:val="22"/>
        </w:rPr>
        <w:t xml:space="preserve">(RF-16925) </w:t>
      </w:r>
      <w:r w:rsidRPr="00C44831">
        <w:rPr>
          <w:rFonts w:cstheme="minorHAnsi"/>
          <w:szCs w:val="22"/>
        </w:rPr>
        <w:t>and D03-20</w:t>
      </w:r>
      <w:r>
        <w:rPr>
          <w:rFonts w:cstheme="minorHAnsi"/>
          <w:szCs w:val="22"/>
        </w:rPr>
        <w:t xml:space="preserve">9 (RF-32156) </w:t>
      </w:r>
      <w:r w:rsidRPr="00E059E5">
        <w:rPr>
          <w:rFonts w:cs="Arial"/>
          <w:szCs w:val="22"/>
        </w:rPr>
        <w:t>were not updated after DEER 2005</w:t>
      </w:r>
      <w:r>
        <w:rPr>
          <w:rFonts w:cs="Arial"/>
          <w:szCs w:val="22"/>
        </w:rPr>
        <w:t xml:space="preserve">. </w:t>
      </w:r>
      <w:r w:rsidRPr="00A33C19">
        <w:rPr>
          <w:rFonts w:cs="Arial"/>
          <w:szCs w:val="22"/>
        </w:rPr>
        <w:t xml:space="preserve">As a result, new simulation models using </w:t>
      </w:r>
      <w:proofErr w:type="spellStart"/>
      <w:r w:rsidRPr="00A33C19">
        <w:rPr>
          <w:rFonts w:cs="Arial"/>
          <w:szCs w:val="22"/>
        </w:rPr>
        <w:t>MASControl</w:t>
      </w:r>
      <w:proofErr w:type="spellEnd"/>
      <w:r w:rsidRPr="00A33C19">
        <w:rPr>
          <w:rFonts w:cs="Arial"/>
          <w:szCs w:val="22"/>
        </w:rPr>
        <w:t xml:space="preserve"> and </w:t>
      </w:r>
      <w:proofErr w:type="spellStart"/>
      <w:r w:rsidRPr="00A33C19">
        <w:rPr>
          <w:rFonts w:cs="Arial"/>
          <w:szCs w:val="22"/>
        </w:rPr>
        <w:t>eQUEST</w:t>
      </w:r>
      <w:proofErr w:type="spellEnd"/>
      <w:r w:rsidRPr="00A33C19">
        <w:rPr>
          <w:rFonts w:cs="Arial"/>
          <w:szCs w:val="22"/>
        </w:rPr>
        <w:t xml:space="preserve"> were generated to calculate the energy savings for solution code RF-16925 and RF-32156. </w:t>
      </w:r>
      <w:r>
        <w:rPr>
          <w:rFonts w:cs="Arial"/>
          <w:szCs w:val="22"/>
        </w:rPr>
        <w:t xml:space="preserve"> </w:t>
      </w:r>
      <w:r w:rsidRPr="007B086C">
        <w:rPr>
          <w:rFonts w:cstheme="minorHAnsi"/>
          <w:szCs w:val="22"/>
        </w:rPr>
        <w:t>DEER</w:t>
      </w:r>
      <w:r w:rsidR="00CF6A17">
        <w:rPr>
          <w:rFonts w:cstheme="minorHAnsi"/>
          <w:szCs w:val="22"/>
        </w:rPr>
        <w:t>2014</w:t>
      </w:r>
      <w:r>
        <w:rPr>
          <w:rFonts w:cstheme="minorHAnsi"/>
          <w:szCs w:val="22"/>
        </w:rPr>
        <w:t xml:space="preserve"> weather files and </w:t>
      </w:r>
      <w:r w:rsidR="005D567E">
        <w:rPr>
          <w:rFonts w:cstheme="minorHAnsi"/>
          <w:szCs w:val="22"/>
        </w:rPr>
        <w:t xml:space="preserve">Title 20 </w:t>
      </w:r>
      <w:r w:rsidR="00ED1C02">
        <w:rPr>
          <w:rFonts w:cstheme="minorHAnsi"/>
          <w:szCs w:val="22"/>
        </w:rPr>
        <w:t>(</w:t>
      </w:r>
      <w:r>
        <w:rPr>
          <w:rFonts w:cstheme="minorHAnsi"/>
          <w:szCs w:val="22"/>
        </w:rPr>
        <w:t>2014</w:t>
      </w:r>
      <w:r w:rsidR="00ED1C02">
        <w:rPr>
          <w:rFonts w:cstheme="minorHAnsi"/>
          <w:szCs w:val="22"/>
        </w:rPr>
        <w:t>)</w:t>
      </w:r>
      <w:r>
        <w:rPr>
          <w:rFonts w:cstheme="minorHAnsi"/>
          <w:szCs w:val="22"/>
        </w:rPr>
        <w:t xml:space="preserve"> code updates were considered in the measure runs</w:t>
      </w:r>
      <w:r w:rsidRPr="007B086C">
        <w:rPr>
          <w:rFonts w:cstheme="minorHAnsi"/>
          <w:szCs w:val="22"/>
        </w:rPr>
        <w:t xml:space="preserve">. </w:t>
      </w:r>
      <w:r>
        <w:rPr>
          <w:rFonts w:cstheme="minorHAnsi"/>
          <w:szCs w:val="22"/>
        </w:rPr>
        <w:t xml:space="preserve">The Grocery DEER prototype building was used to calculate savings for all building types covered in this work paper. </w:t>
      </w:r>
      <w:r w:rsidRPr="007B086C">
        <w:rPr>
          <w:rFonts w:cstheme="minorHAnsi"/>
          <w:szCs w:val="22"/>
        </w:rPr>
        <w:t xml:space="preserve">See </w:t>
      </w:r>
      <w:r>
        <w:rPr>
          <w:rFonts w:cstheme="minorHAnsi"/>
          <w:szCs w:val="22"/>
        </w:rPr>
        <w:t>S</w:t>
      </w:r>
      <w:r w:rsidRPr="007B086C">
        <w:rPr>
          <w:rFonts w:cstheme="minorHAnsi"/>
          <w:szCs w:val="22"/>
        </w:rPr>
        <w:t>ection 2 for more information.</w:t>
      </w:r>
    </w:p>
    <w:p w14:paraId="23C80429" w14:textId="77777777" w:rsidR="00AF7ECA" w:rsidRDefault="00AF7ECA" w:rsidP="00920905">
      <w:pPr>
        <w:pStyle w:val="Caption"/>
        <w:keepNext/>
        <w:jc w:val="center"/>
        <w:rPr>
          <w:rFonts w:cs="Arial"/>
          <w:szCs w:val="22"/>
        </w:rPr>
      </w:pPr>
      <w:bookmarkStart w:id="10" w:name="_Toc385592671"/>
      <w:bookmarkStart w:id="11" w:name="_Toc214003087"/>
    </w:p>
    <w:p w14:paraId="127C5859" w14:textId="3A654776" w:rsidR="00E326BA" w:rsidRPr="00920905" w:rsidRDefault="00E326BA" w:rsidP="00DA5082">
      <w:pPr>
        <w:pStyle w:val="Caption"/>
        <w:rPr>
          <w:rFonts w:cs="Arial"/>
          <w:szCs w:val="22"/>
        </w:rPr>
      </w:pPr>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B006316"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56277A">
              <w:rPr>
                <w:rFonts w:cs="Arial"/>
                <w:b/>
                <w:szCs w:val="20"/>
              </w:rPr>
              <w:t xml:space="preserve"> </w:t>
            </w:r>
            <w:r w:rsidRPr="00920905">
              <w:rPr>
                <w:rFonts w:cs="Arial"/>
                <w:b/>
                <w:szCs w:val="20"/>
              </w:rPr>
              <w:t>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3B03DC0B" w:rsidR="00E326BA" w:rsidRPr="00533FB3" w:rsidRDefault="00AF7ECA" w:rsidP="00AF7ECA">
            <w:pPr>
              <w:rPr>
                <w:rFonts w:cs="Arial"/>
                <w:b/>
                <w:szCs w:val="20"/>
              </w:rPr>
            </w:pPr>
            <w:r w:rsidRPr="00533FB3">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021A9453" w:rsidR="00E326BA" w:rsidRPr="00810947" w:rsidRDefault="00A72929" w:rsidP="00920905">
            <w:pPr>
              <w:rPr>
                <w:rFonts w:cs="Arial"/>
                <w:szCs w:val="20"/>
              </w:rPr>
            </w:pPr>
            <w:r w:rsidRPr="00810947">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06A6B3C" w:rsidR="00E326BA" w:rsidRPr="00810947" w:rsidRDefault="002F1DC7" w:rsidP="00920905">
            <w:pPr>
              <w:rPr>
                <w:rFonts w:cs="Arial"/>
                <w:szCs w:val="20"/>
              </w:rPr>
            </w:pPr>
            <w:r w:rsidRPr="00810947">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4BEED714" w:rsidR="00E326BA" w:rsidRPr="00533FB3" w:rsidRDefault="00AF7ECA" w:rsidP="00920905">
            <w:pPr>
              <w:rPr>
                <w:rFonts w:cs="Arial"/>
                <w:szCs w:val="20"/>
              </w:rPr>
            </w:pPr>
            <w:r w:rsidRPr="00533FB3">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757887F0" w:rsidR="00E326BA" w:rsidRPr="00533FB3" w:rsidRDefault="00AF7ECA" w:rsidP="00AF7ECA">
            <w:pPr>
              <w:rPr>
                <w:rFonts w:cs="Arial"/>
                <w:szCs w:val="20"/>
              </w:rPr>
            </w:pPr>
            <w:r w:rsidRPr="00533FB3">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3BF6280" w:rsidR="00E326BA" w:rsidRPr="00533FB3" w:rsidRDefault="00AF7ECA" w:rsidP="00AF7ECA">
            <w:pPr>
              <w:rPr>
                <w:rFonts w:cs="Arial"/>
                <w:szCs w:val="20"/>
              </w:rPr>
            </w:pPr>
            <w:r w:rsidRPr="00533FB3">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1FFCFF66" w:rsidR="00505CEC" w:rsidRPr="00533FB3" w:rsidDel="00505CEC" w:rsidRDefault="00AF7ECA" w:rsidP="00AF7ECA">
            <w:pPr>
              <w:rPr>
                <w:rFonts w:cs="Arial"/>
                <w:szCs w:val="20"/>
              </w:rPr>
            </w:pPr>
            <w:r w:rsidRPr="00533FB3">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5A734DC9" w:rsidR="00D86A9D" w:rsidRPr="00533FB3" w:rsidRDefault="00B32FBB" w:rsidP="00416E34">
            <w:pPr>
              <w:rPr>
                <w:rFonts w:cs="Arial"/>
                <w:szCs w:val="20"/>
              </w:rPr>
            </w:pPr>
            <w:r>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147C02A5" w:rsidR="00E326BA" w:rsidRPr="00533FB3" w:rsidRDefault="00AF7ECA" w:rsidP="008F753B">
            <w:pPr>
              <w:rPr>
                <w:rFonts w:cs="Arial"/>
                <w:szCs w:val="20"/>
              </w:rPr>
            </w:pPr>
            <w:r w:rsidRPr="00533FB3">
              <w:rPr>
                <w:rFonts w:cs="Arial"/>
                <w:szCs w:val="20"/>
              </w:rPr>
              <w:t xml:space="preserve">DEER </w:t>
            </w:r>
            <w:r w:rsidR="008F753B" w:rsidRPr="00533FB3">
              <w:rPr>
                <w:rFonts w:cs="Arial"/>
                <w:szCs w:val="20"/>
              </w:rPr>
              <w:t>201</w:t>
            </w:r>
            <w:r w:rsidR="008F753B">
              <w:rPr>
                <w:rFonts w:cs="Arial"/>
                <w:szCs w:val="20"/>
              </w:rPr>
              <w:t>7</w:t>
            </w:r>
            <w:r w:rsidR="008F753B" w:rsidRPr="00533FB3">
              <w:rPr>
                <w:rFonts w:cs="Arial"/>
                <w:szCs w:val="20"/>
              </w:rPr>
              <w:t xml:space="preserve"> </w:t>
            </w:r>
            <w:r w:rsidRPr="00533FB3">
              <w:rPr>
                <w:rFonts w:cs="Arial"/>
                <w:szCs w:val="20"/>
              </w:rPr>
              <w:t>does not contain this type of measure.</w:t>
            </w:r>
          </w:p>
        </w:tc>
      </w:tr>
      <w:tr w:rsidR="00726AD5" w:rsidRPr="00500C4E" w14:paraId="5272C28A" w14:textId="77777777" w:rsidTr="00533FB3">
        <w:trPr>
          <w:trHeight w:val="6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47E399F" w:rsidR="00E326BA" w:rsidRPr="00533FB3" w:rsidRDefault="00B32FBB" w:rsidP="00920905">
            <w:pPr>
              <w:rPr>
                <w:rFonts w:cs="Arial"/>
                <w:szCs w:val="20"/>
              </w:rPr>
            </w:pPr>
            <w:r>
              <w:rPr>
                <w:rFonts w:cstheme="minorHAnsi"/>
                <w:szCs w:val="20"/>
              </w:rPr>
              <w:t>N/A</w:t>
            </w:r>
          </w:p>
        </w:tc>
      </w:tr>
    </w:tbl>
    <w:p w14:paraId="23B2FFA6" w14:textId="77777777" w:rsidR="00472250" w:rsidRPr="00500C4E" w:rsidRDefault="00472250" w:rsidP="00920905">
      <w:pPr>
        <w:pStyle w:val="Caption"/>
        <w:keepNext/>
        <w:rPr>
          <w:rFonts w:cstheme="minorHAnsi"/>
          <w:b w:val="0"/>
          <w:i/>
          <w:szCs w:val="22"/>
        </w:rPr>
      </w:pPr>
    </w:p>
    <w:p w14:paraId="7CDA4E3F" w14:textId="77777777" w:rsidR="00533FB3" w:rsidRDefault="00533FB3" w:rsidP="00472250">
      <w:pPr>
        <w:pStyle w:val="Reminders"/>
        <w:rPr>
          <w:rFonts w:asciiTheme="minorHAnsi" w:hAnsiTheme="minorHAnsi" w:cstheme="minorHAnsi"/>
          <w:b/>
          <w:i w:val="0"/>
          <w:color w:val="auto"/>
          <w:szCs w:val="22"/>
        </w:rPr>
      </w:pPr>
    </w:p>
    <w:p w14:paraId="5DF8C883" w14:textId="77777777" w:rsidR="00533FB3" w:rsidRDefault="00533FB3"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4E1399D5" w:rsidR="000968C6" w:rsidRDefault="000968C6" w:rsidP="00920905">
      <w:pPr>
        <w:pStyle w:val="NoSpacing"/>
      </w:pPr>
      <w:r w:rsidRPr="004D069A">
        <w:t>The NTG</w:t>
      </w:r>
      <w:r w:rsidR="00064CB3" w:rsidRPr="004D069A">
        <w:t xml:space="preserve"> </w:t>
      </w:r>
      <w:r w:rsidRPr="004D069A">
        <w:t>value</w:t>
      </w:r>
      <w:r w:rsidR="00BC6524" w:rsidRPr="004D069A">
        <w:t xml:space="preserve">s </w:t>
      </w:r>
      <w:r w:rsidR="0056277A">
        <w:t>in</w:t>
      </w:r>
      <w:r w:rsidR="00245E24">
        <w:t xml:space="preserve"> the </w:t>
      </w:r>
      <w:r w:rsidR="008F753B">
        <w:t>t</w:t>
      </w:r>
      <w:r w:rsidR="00245E24">
        <w:t>able below</w:t>
      </w:r>
      <w:r w:rsidR="0056277A">
        <w:t xml:space="preserve"> </w:t>
      </w:r>
      <w:r w:rsidR="00BC6524" w:rsidRPr="004D069A">
        <w:t>were obtained using</w:t>
      </w:r>
      <w:r w:rsidRPr="004D069A">
        <w:t xml:space="preserve"> </w:t>
      </w:r>
      <w:r w:rsidR="00F12733" w:rsidRPr="004D069A">
        <w:t xml:space="preserve">the </w:t>
      </w:r>
      <w:r w:rsidR="00BC6524" w:rsidRPr="004D069A">
        <w:t>DEER READI tool</w:t>
      </w:r>
      <w:r w:rsidR="00776202">
        <w:t xml:space="preserve"> v.2.4.7</w:t>
      </w:r>
      <w:r w:rsidRPr="004D069A">
        <w:t>.</w:t>
      </w:r>
    </w:p>
    <w:p w14:paraId="3900567A" w14:textId="77777777" w:rsidR="00776202" w:rsidRDefault="00776202" w:rsidP="00920905">
      <w:pPr>
        <w:pStyle w:val="NoSpacing"/>
      </w:pPr>
    </w:p>
    <w:p w14:paraId="2C312CB9" w14:textId="26160E99" w:rsidR="00533FB3" w:rsidRPr="00533FB3" w:rsidRDefault="00DA5082" w:rsidP="00DA5082">
      <w:pPr>
        <w:pStyle w:val="Caption"/>
        <w:rPr>
          <w:b w:val="0"/>
        </w:rPr>
      </w:pPr>
      <w:r>
        <w:t>Net-to-Gross Ratio</w:t>
      </w:r>
    </w:p>
    <w:tbl>
      <w:tblPr>
        <w:tblStyle w:val="TableGrid1"/>
        <w:tblW w:w="5000" w:type="pct"/>
        <w:tblLayout w:type="fixed"/>
        <w:tblLook w:val="01E0" w:firstRow="1" w:lastRow="1" w:firstColumn="1" w:lastColumn="1" w:noHBand="0" w:noVBand="0"/>
      </w:tblPr>
      <w:tblGrid>
        <w:gridCol w:w="1469"/>
        <w:gridCol w:w="3779"/>
        <w:gridCol w:w="831"/>
        <w:gridCol w:w="1013"/>
        <w:gridCol w:w="1752"/>
        <w:gridCol w:w="732"/>
      </w:tblGrid>
      <w:tr w:rsidR="005F69D5" w:rsidRPr="00500C4E" w14:paraId="7ADA6C1A" w14:textId="77777777" w:rsidTr="001E004D">
        <w:tc>
          <w:tcPr>
            <w:tcW w:w="767" w:type="pct"/>
            <w:shd w:val="clear" w:color="auto" w:fill="D9D9D9" w:themeFill="background1" w:themeFillShade="D9"/>
          </w:tcPr>
          <w:p w14:paraId="036218EF" w14:textId="6670DE77" w:rsidR="000968C6" w:rsidRPr="00920905" w:rsidRDefault="005729C8" w:rsidP="001E004D">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73" w:type="pct"/>
            <w:shd w:val="clear" w:color="auto" w:fill="D9D9D9" w:themeFill="background1" w:themeFillShade="D9"/>
          </w:tcPr>
          <w:p w14:paraId="65632B37" w14:textId="13135991" w:rsidR="000968C6" w:rsidRPr="00920905" w:rsidRDefault="005F69D5" w:rsidP="001E004D">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1E004D">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1E004D">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rsidP="001E004D">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382" w:type="pct"/>
            <w:shd w:val="clear" w:color="auto" w:fill="D9D9D9" w:themeFill="background1" w:themeFillShade="D9"/>
          </w:tcPr>
          <w:p w14:paraId="48FF07C8" w14:textId="5A5E3ED8" w:rsidR="000968C6" w:rsidRPr="00920905" w:rsidRDefault="00FB2590" w:rsidP="001E004D">
            <w:pPr>
              <w:rPr>
                <w:rFonts w:cstheme="minorHAnsi"/>
                <w:b/>
                <w:szCs w:val="20"/>
              </w:rPr>
            </w:pPr>
            <w:r w:rsidRPr="00920905">
              <w:rPr>
                <w:rFonts w:cstheme="minorHAnsi"/>
                <w:b/>
                <w:szCs w:val="20"/>
              </w:rPr>
              <w:t>NTG</w:t>
            </w:r>
            <w:r w:rsidR="00E06A37">
              <w:rPr>
                <w:rFonts w:cstheme="minorHAnsi"/>
                <w:b/>
                <w:szCs w:val="20"/>
              </w:rPr>
              <w:t>R</w:t>
            </w:r>
          </w:p>
        </w:tc>
      </w:tr>
      <w:tr w:rsidR="00533FB3" w:rsidRPr="00500C4E" w14:paraId="5C8B04BC" w14:textId="77777777" w:rsidTr="001E004D">
        <w:tc>
          <w:tcPr>
            <w:tcW w:w="767" w:type="pct"/>
          </w:tcPr>
          <w:p w14:paraId="28722997" w14:textId="64F62246" w:rsidR="00533FB3" w:rsidRPr="00500C4E" w:rsidRDefault="00533FB3" w:rsidP="001E004D">
            <w:pPr>
              <w:rPr>
                <w:color w:val="FF0000"/>
                <w:szCs w:val="20"/>
              </w:rPr>
            </w:pPr>
            <w:r w:rsidRPr="00550FB9">
              <w:rPr>
                <w:rFonts w:cstheme="minorHAnsi"/>
                <w:szCs w:val="20"/>
              </w:rPr>
              <w:t>Com-Default&gt;2yrs</w:t>
            </w:r>
          </w:p>
        </w:tc>
        <w:tc>
          <w:tcPr>
            <w:tcW w:w="1973" w:type="pct"/>
          </w:tcPr>
          <w:p w14:paraId="3EB26158" w14:textId="48E9BB48" w:rsidR="00533FB3" w:rsidRPr="00500C4E" w:rsidRDefault="00533FB3" w:rsidP="001E004D">
            <w:pPr>
              <w:rPr>
                <w:color w:val="FF0000"/>
                <w:szCs w:val="20"/>
              </w:rPr>
            </w:pPr>
            <w:r w:rsidRPr="00817721">
              <w:rPr>
                <w:rFonts w:cstheme="minorHAnsi"/>
                <w:szCs w:val="20"/>
              </w:rPr>
              <w:t>All other EEM with no evaluated NTGR; existing EEM with same delivery mechanism for more than 2 years</w:t>
            </w:r>
          </w:p>
        </w:tc>
        <w:tc>
          <w:tcPr>
            <w:tcW w:w="434" w:type="pct"/>
          </w:tcPr>
          <w:p w14:paraId="5C4D3E7D" w14:textId="4B0C3599" w:rsidR="00533FB3" w:rsidRPr="00500C4E" w:rsidRDefault="00533FB3" w:rsidP="001E004D">
            <w:pPr>
              <w:rPr>
                <w:color w:val="FF0000"/>
                <w:szCs w:val="20"/>
              </w:rPr>
            </w:pPr>
            <w:r w:rsidRPr="00550FB9">
              <w:rPr>
                <w:rFonts w:cstheme="minorHAnsi"/>
                <w:szCs w:val="20"/>
              </w:rPr>
              <w:t>Com</w:t>
            </w:r>
          </w:p>
        </w:tc>
        <w:tc>
          <w:tcPr>
            <w:tcW w:w="529" w:type="pct"/>
          </w:tcPr>
          <w:p w14:paraId="1A63333B" w14:textId="422BDF98" w:rsidR="00533FB3" w:rsidRPr="00500C4E" w:rsidRDefault="00533FB3" w:rsidP="001E004D">
            <w:pPr>
              <w:rPr>
                <w:color w:val="FF0000"/>
                <w:szCs w:val="20"/>
              </w:rPr>
            </w:pPr>
            <w:r w:rsidRPr="00550FB9">
              <w:rPr>
                <w:rFonts w:cstheme="minorHAnsi"/>
                <w:szCs w:val="20"/>
              </w:rPr>
              <w:t>Any</w:t>
            </w:r>
          </w:p>
        </w:tc>
        <w:tc>
          <w:tcPr>
            <w:tcW w:w="915" w:type="pct"/>
          </w:tcPr>
          <w:p w14:paraId="6AB10E89" w14:textId="7B71544E" w:rsidR="00533FB3" w:rsidRPr="00500C4E" w:rsidRDefault="00533FB3" w:rsidP="001E004D">
            <w:pPr>
              <w:rPr>
                <w:color w:val="FF0000"/>
                <w:szCs w:val="20"/>
              </w:rPr>
            </w:pPr>
            <w:r w:rsidRPr="00550FB9">
              <w:rPr>
                <w:rFonts w:cstheme="minorHAnsi"/>
                <w:szCs w:val="20"/>
              </w:rPr>
              <w:t>All</w:t>
            </w:r>
          </w:p>
        </w:tc>
        <w:tc>
          <w:tcPr>
            <w:tcW w:w="382" w:type="pct"/>
          </w:tcPr>
          <w:p w14:paraId="25878F23" w14:textId="605AE253" w:rsidR="00533FB3" w:rsidRPr="00500C4E" w:rsidRDefault="00533FB3" w:rsidP="001E004D">
            <w:pPr>
              <w:rPr>
                <w:color w:val="FF0000"/>
                <w:szCs w:val="20"/>
              </w:rPr>
            </w:pPr>
            <w:r w:rsidRPr="00550FB9">
              <w:rPr>
                <w:rFonts w:cstheme="minorHAnsi"/>
                <w:szCs w:val="20"/>
              </w:rPr>
              <w:t>0.6</w:t>
            </w:r>
          </w:p>
        </w:tc>
      </w:tr>
    </w:tbl>
    <w:p w14:paraId="525277F7" w14:textId="77777777" w:rsidR="00533FB3" w:rsidRPr="00920905" w:rsidRDefault="00533FB3"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6719B7BE"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776202">
        <w:t xml:space="preserve">in </w:t>
      </w:r>
      <w:r w:rsidR="00245E24">
        <w:t xml:space="preserve">the </w:t>
      </w:r>
      <w:r w:rsidR="00E9619C">
        <w:t>t</w:t>
      </w:r>
      <w:r w:rsidR="00245E24">
        <w:t>able below</w:t>
      </w:r>
      <w:r w:rsidR="00776202">
        <w:t xml:space="preserve"> </w:t>
      </w:r>
      <w:r w:rsidR="00061A8E" w:rsidRPr="00920905">
        <w:t>were</w:t>
      </w:r>
      <w:r w:rsidRPr="00920905">
        <w:t xml:space="preserve"> obtained </w:t>
      </w:r>
      <w:r w:rsidR="00BC6524" w:rsidRPr="00920905">
        <w:t>using the DEER READI tool</w:t>
      </w:r>
      <w:r w:rsidR="00776202">
        <w:t xml:space="preserve"> v.2.4.7</w:t>
      </w:r>
      <w:r w:rsidR="008B1357" w:rsidRPr="00920905">
        <w:t>.</w:t>
      </w:r>
    </w:p>
    <w:p w14:paraId="26EC892F" w14:textId="77777777" w:rsidR="00776202" w:rsidRDefault="00776202" w:rsidP="00920905">
      <w:pPr>
        <w:pStyle w:val="NoSpacing"/>
      </w:pPr>
    </w:p>
    <w:p w14:paraId="37A841F4" w14:textId="24BF8364" w:rsidR="00A555C8" w:rsidRPr="00920905" w:rsidRDefault="00DA5082" w:rsidP="00DA5082">
      <w:pPr>
        <w:pStyle w:val="Caption"/>
      </w:pPr>
      <w:r>
        <w:t>Gross Savings Installation Adjustment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611257">
        <w:tc>
          <w:tcPr>
            <w:tcW w:w="722" w:type="pct"/>
            <w:shd w:val="clear" w:color="auto" w:fill="D9D9D9" w:themeFill="background1" w:themeFillShade="D9"/>
          </w:tcPr>
          <w:p w14:paraId="75105F70" w14:textId="77777777" w:rsidR="006B4A48" w:rsidRPr="00920905" w:rsidRDefault="00BA2E7E" w:rsidP="00611257">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611257">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611257">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611257">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611257">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611257">
            <w:pPr>
              <w:rPr>
                <w:rFonts w:cstheme="minorHAnsi"/>
                <w:b/>
                <w:szCs w:val="20"/>
              </w:rPr>
            </w:pPr>
            <w:proofErr w:type="spellStart"/>
            <w:r w:rsidRPr="00920905">
              <w:rPr>
                <w:rFonts w:cstheme="minorHAnsi"/>
                <w:b/>
                <w:szCs w:val="20"/>
              </w:rPr>
              <w:t>GSIAValue</w:t>
            </w:r>
            <w:proofErr w:type="spellEnd"/>
          </w:p>
        </w:tc>
      </w:tr>
      <w:tr w:rsidR="00A555C8" w:rsidRPr="00500C4E" w14:paraId="3AEFCD58" w14:textId="77777777" w:rsidTr="00611257">
        <w:tc>
          <w:tcPr>
            <w:tcW w:w="722" w:type="pct"/>
          </w:tcPr>
          <w:p w14:paraId="20565B79" w14:textId="2A5AFFC9" w:rsidR="00A555C8" w:rsidRPr="00500C4E" w:rsidRDefault="00A555C8" w:rsidP="00611257">
            <w:pPr>
              <w:rPr>
                <w:color w:val="FF0000"/>
                <w:szCs w:val="20"/>
              </w:rPr>
            </w:pPr>
            <w:r>
              <w:rPr>
                <w:rFonts w:cstheme="minorHAnsi"/>
                <w:szCs w:val="20"/>
              </w:rPr>
              <w:t>Def-GSIA</w:t>
            </w:r>
          </w:p>
        </w:tc>
        <w:tc>
          <w:tcPr>
            <w:tcW w:w="1404" w:type="pct"/>
          </w:tcPr>
          <w:p w14:paraId="2BFFF598" w14:textId="0835BC4B" w:rsidR="00A555C8" w:rsidRPr="00500C4E" w:rsidRDefault="00A555C8" w:rsidP="00611257">
            <w:pPr>
              <w:rPr>
                <w:color w:val="FF0000"/>
                <w:szCs w:val="20"/>
              </w:rPr>
            </w:pPr>
            <w:r>
              <w:rPr>
                <w:rFonts w:cstheme="minorHAnsi"/>
                <w:szCs w:val="20"/>
              </w:rPr>
              <w:t>Default GSIA values</w:t>
            </w:r>
          </w:p>
        </w:tc>
        <w:tc>
          <w:tcPr>
            <w:tcW w:w="688" w:type="pct"/>
          </w:tcPr>
          <w:p w14:paraId="157D8A62" w14:textId="6060BC96" w:rsidR="00A555C8" w:rsidRPr="00500C4E" w:rsidRDefault="00A555C8" w:rsidP="00611257">
            <w:pPr>
              <w:rPr>
                <w:color w:val="FF0000"/>
                <w:szCs w:val="20"/>
              </w:rPr>
            </w:pPr>
            <w:r>
              <w:rPr>
                <w:rFonts w:cstheme="minorHAnsi"/>
                <w:szCs w:val="20"/>
              </w:rPr>
              <w:t>Any</w:t>
            </w:r>
          </w:p>
        </w:tc>
        <w:tc>
          <w:tcPr>
            <w:tcW w:w="858" w:type="pct"/>
          </w:tcPr>
          <w:p w14:paraId="0C3293FE" w14:textId="14E1900E" w:rsidR="00A555C8" w:rsidRPr="00500C4E" w:rsidRDefault="00A555C8" w:rsidP="00611257">
            <w:pPr>
              <w:rPr>
                <w:color w:val="FF0000"/>
                <w:szCs w:val="20"/>
              </w:rPr>
            </w:pPr>
            <w:r>
              <w:rPr>
                <w:rFonts w:cstheme="minorHAnsi"/>
                <w:szCs w:val="20"/>
              </w:rPr>
              <w:t>Any</w:t>
            </w:r>
          </w:p>
        </w:tc>
        <w:tc>
          <w:tcPr>
            <w:tcW w:w="693" w:type="pct"/>
          </w:tcPr>
          <w:p w14:paraId="0B642835" w14:textId="0233E3F3" w:rsidR="00A555C8" w:rsidRPr="00500C4E" w:rsidRDefault="00A555C8" w:rsidP="00611257">
            <w:pPr>
              <w:rPr>
                <w:color w:val="FF0000"/>
                <w:szCs w:val="20"/>
              </w:rPr>
            </w:pPr>
            <w:r>
              <w:rPr>
                <w:rFonts w:cstheme="minorHAnsi"/>
                <w:szCs w:val="20"/>
              </w:rPr>
              <w:t>Any</w:t>
            </w:r>
          </w:p>
        </w:tc>
        <w:tc>
          <w:tcPr>
            <w:tcW w:w="634" w:type="pct"/>
          </w:tcPr>
          <w:p w14:paraId="1C671DD2" w14:textId="2B2DD29A" w:rsidR="00A555C8" w:rsidRPr="00500C4E" w:rsidRDefault="00A555C8" w:rsidP="00611257">
            <w:pPr>
              <w:rPr>
                <w:color w:val="FF0000"/>
                <w:szCs w:val="20"/>
              </w:rPr>
            </w:pPr>
            <w:r>
              <w:rPr>
                <w:rFonts w:cstheme="minorHAnsi"/>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192947BA" w14:textId="09DAB1FE" w:rsidR="00AB2DA4" w:rsidRDefault="00284B34" w:rsidP="00284B34">
      <w:r w:rsidRPr="00DB4BA7">
        <w:t>The EUL and RUL values were obtained in accordance with Resolution E-4807 [</w:t>
      </w:r>
      <w:r w:rsidR="00B34F57">
        <w:t>D</w:t>
      </w:r>
      <w:r w:rsidRPr="00DB4BA7">
        <w:t>]</w:t>
      </w:r>
      <w:r w:rsidR="00024C62" w:rsidRPr="00DB4BA7">
        <w:t xml:space="preserve"> and </w:t>
      </w:r>
      <w:r w:rsidR="00024C62" w:rsidRPr="00DB4BA7">
        <w:rPr>
          <w:rFonts w:cs="Arial"/>
          <w:szCs w:val="20"/>
        </w:rPr>
        <w:t>Resolution E-4818 [C]</w:t>
      </w:r>
      <w:r w:rsidR="00AB2DA4" w:rsidRPr="00DB4BA7">
        <w:t xml:space="preserve">. </w:t>
      </w:r>
      <w:r w:rsidR="00874750" w:rsidRPr="00DB4BA7">
        <w:t>According to Resolution E-4818 [C], “</w:t>
      </w:r>
      <w:r w:rsidR="00804EFD" w:rsidRPr="00D530E5">
        <w:t xml:space="preserve">the EUL of </w:t>
      </w:r>
      <w:r w:rsidR="00804EFD">
        <w:t>REA</w:t>
      </w:r>
      <w:r w:rsidR="00804EFD" w:rsidRPr="00D530E5">
        <w:t xml:space="preserve"> measures is capped at the RUL of the </w:t>
      </w:r>
      <w:r w:rsidR="00804EFD">
        <w:t xml:space="preserve">host </w:t>
      </w:r>
      <w:r w:rsidR="00804EFD" w:rsidRPr="00D530E5">
        <w:t>equipment.</w:t>
      </w:r>
      <w:r w:rsidR="00804EFD">
        <w:t xml:space="preserve"> </w:t>
      </w:r>
      <w:r w:rsidR="00874750" w:rsidRPr="00DB4BA7">
        <w:t xml:space="preserve"> </w:t>
      </w:r>
      <w:r w:rsidR="00AB2DA4" w:rsidRPr="00DB4BA7">
        <w:t xml:space="preserve">DEER defines the RUL as 1/3 of the EUL value. The RUL </w:t>
      </w:r>
      <w:r w:rsidR="00AB2DA4">
        <w:t xml:space="preserve">value is only applicable to the first baseline period for an RET measure with an applicable code baseline. </w:t>
      </w:r>
    </w:p>
    <w:p w14:paraId="40E80961" w14:textId="77777777" w:rsidR="00085E6D" w:rsidRDefault="00085E6D" w:rsidP="00284B34"/>
    <w:p w14:paraId="20BC9B7E" w14:textId="55D92477" w:rsidR="00085E6D" w:rsidRDefault="00085E6D" w:rsidP="00284B34">
      <w:r>
        <w:t>According to a report [</w:t>
      </w:r>
      <w:r w:rsidR="00C851A0">
        <w:t>E</w:t>
      </w:r>
      <w:r>
        <w:t>] prepared for DOE, t</w:t>
      </w:r>
      <w:r w:rsidRPr="00085E6D">
        <w:t>he expected life of the insulated box comprising the walk-in is from 12 to 25 years.</w:t>
      </w:r>
      <w:r>
        <w:t xml:space="preserve"> Hence, </w:t>
      </w:r>
      <w:r w:rsidR="00223231">
        <w:t xml:space="preserve">host equipment is considered to have </w:t>
      </w:r>
      <w:r w:rsidR="00454476">
        <w:t>a</w:t>
      </w:r>
      <w:r>
        <w:t xml:space="preserve"> EUL of 20 years</w:t>
      </w:r>
      <w:r w:rsidR="00223231">
        <w:t xml:space="preserve">, with a RUL of 6.7 years. Per DEER2017’s EUL table, the EUL of </w:t>
      </w:r>
      <w:r w:rsidR="00223231" w:rsidRPr="00223231">
        <w:rPr>
          <w:i/>
        </w:rPr>
        <w:t>Auto-Closer for Walk-In Cooler/Freezer Doors</w:t>
      </w:r>
      <w:r w:rsidR="00223231">
        <w:t xml:space="preserve"> is 8 years. Therefore, the EUL of the measures in this work paper is capped at 6.7 years. </w:t>
      </w:r>
    </w:p>
    <w:p w14:paraId="5FB17486" w14:textId="77777777" w:rsidR="00AB2DA4" w:rsidRDefault="00AB2DA4" w:rsidP="00AB2DA4">
      <w:pPr>
        <w:pStyle w:val="NoSpacing"/>
      </w:pPr>
    </w:p>
    <w:p w14:paraId="319A189D" w14:textId="2D9F6C7A" w:rsidR="00A555C8" w:rsidRPr="00920905" w:rsidRDefault="00DA5082" w:rsidP="00DA5082">
      <w:pPr>
        <w:pStyle w:val="Caption"/>
      </w:pPr>
      <w:r>
        <w:t>Effectiveness Useful Life</w:t>
      </w:r>
    </w:p>
    <w:tbl>
      <w:tblPr>
        <w:tblStyle w:val="TableGrid1"/>
        <w:tblW w:w="5000" w:type="pct"/>
        <w:tblLook w:val="04A0" w:firstRow="1" w:lastRow="0" w:firstColumn="1" w:lastColumn="0" w:noHBand="0" w:noVBand="1"/>
      </w:tblPr>
      <w:tblGrid>
        <w:gridCol w:w="1747"/>
        <w:gridCol w:w="2949"/>
        <w:gridCol w:w="921"/>
        <w:gridCol w:w="1383"/>
        <w:gridCol w:w="1233"/>
        <w:gridCol w:w="1343"/>
      </w:tblGrid>
      <w:tr w:rsidR="008B1357" w:rsidRPr="00500C4E" w14:paraId="5A9EC2BE" w14:textId="77777777" w:rsidTr="004D4092">
        <w:tc>
          <w:tcPr>
            <w:tcW w:w="912"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540"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81"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722"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644"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01"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A555C8" w:rsidRPr="00500C4E" w14:paraId="23E3B0B0" w14:textId="77777777" w:rsidTr="004D4092">
        <w:trPr>
          <w:trHeight w:val="243"/>
        </w:trPr>
        <w:tc>
          <w:tcPr>
            <w:tcW w:w="912" w:type="pct"/>
          </w:tcPr>
          <w:p w14:paraId="17A1D7F4" w14:textId="0DB038B9" w:rsidR="00A555C8" w:rsidRPr="00500C4E" w:rsidRDefault="00A555C8" w:rsidP="00A555C8">
            <w:pPr>
              <w:rPr>
                <w:color w:val="FF0000"/>
                <w:szCs w:val="20"/>
              </w:rPr>
            </w:pPr>
            <w:proofErr w:type="spellStart"/>
            <w:r>
              <w:rPr>
                <w:rFonts w:cstheme="minorHAnsi"/>
                <w:szCs w:val="20"/>
              </w:rPr>
              <w:t>GrocWlkIn-DrClsr</w:t>
            </w:r>
            <w:proofErr w:type="spellEnd"/>
          </w:p>
        </w:tc>
        <w:tc>
          <w:tcPr>
            <w:tcW w:w="1540" w:type="pct"/>
          </w:tcPr>
          <w:p w14:paraId="36E678D1" w14:textId="6DBFA469" w:rsidR="00A555C8" w:rsidRPr="00500C4E" w:rsidRDefault="004D4092" w:rsidP="00A555C8">
            <w:pPr>
              <w:rPr>
                <w:color w:val="FF0000"/>
                <w:szCs w:val="20"/>
              </w:rPr>
            </w:pPr>
            <w:r w:rsidRPr="004D4092">
              <w:rPr>
                <w:rFonts w:cstheme="minorHAnsi"/>
                <w:szCs w:val="20"/>
              </w:rPr>
              <w:t>Auto-Closer for Walk-In Cooler/Freezer Doors</w:t>
            </w:r>
          </w:p>
        </w:tc>
        <w:tc>
          <w:tcPr>
            <w:tcW w:w="481" w:type="pct"/>
          </w:tcPr>
          <w:p w14:paraId="42B5C736" w14:textId="389FDEE1" w:rsidR="00A555C8" w:rsidRPr="00500C4E" w:rsidRDefault="004D4092" w:rsidP="00A555C8">
            <w:pPr>
              <w:rPr>
                <w:color w:val="FF0000"/>
                <w:szCs w:val="20"/>
              </w:rPr>
            </w:pPr>
            <w:r>
              <w:rPr>
                <w:rFonts w:cstheme="minorHAnsi"/>
                <w:szCs w:val="20"/>
              </w:rPr>
              <w:t>Com</w:t>
            </w:r>
          </w:p>
        </w:tc>
        <w:tc>
          <w:tcPr>
            <w:tcW w:w="722" w:type="pct"/>
          </w:tcPr>
          <w:p w14:paraId="52A841ED" w14:textId="01D3731E" w:rsidR="00A555C8" w:rsidRPr="00500C4E" w:rsidRDefault="004D4092" w:rsidP="00A555C8">
            <w:pPr>
              <w:rPr>
                <w:color w:val="FF0000"/>
                <w:szCs w:val="20"/>
              </w:rPr>
            </w:pPr>
            <w:proofErr w:type="spellStart"/>
            <w:r w:rsidRPr="004D4092">
              <w:rPr>
                <w:rFonts w:cstheme="minorHAnsi"/>
                <w:szCs w:val="20"/>
              </w:rPr>
              <w:t>ComRefrig</w:t>
            </w:r>
            <w:proofErr w:type="spellEnd"/>
          </w:p>
        </w:tc>
        <w:tc>
          <w:tcPr>
            <w:tcW w:w="644" w:type="pct"/>
          </w:tcPr>
          <w:p w14:paraId="1BF5FCBD" w14:textId="1EC2B1D2" w:rsidR="00A555C8" w:rsidRPr="00BF6B88" w:rsidRDefault="00874750" w:rsidP="00A555C8">
            <w:pPr>
              <w:rPr>
                <w:szCs w:val="20"/>
                <w:vertAlign w:val="superscript"/>
              </w:rPr>
            </w:pPr>
            <w:r w:rsidRPr="00BF6B88">
              <w:rPr>
                <w:rFonts w:cstheme="minorHAnsi"/>
                <w:szCs w:val="20"/>
              </w:rPr>
              <w:t>6.7</w:t>
            </w:r>
            <w:r w:rsidR="00223231" w:rsidRPr="00BF6B88">
              <w:rPr>
                <w:rFonts w:cstheme="minorHAnsi"/>
                <w:szCs w:val="20"/>
                <w:vertAlign w:val="superscript"/>
              </w:rPr>
              <w:t>*</w:t>
            </w:r>
          </w:p>
        </w:tc>
        <w:tc>
          <w:tcPr>
            <w:tcW w:w="701" w:type="pct"/>
          </w:tcPr>
          <w:p w14:paraId="46ED97C1" w14:textId="2E74830A" w:rsidR="00A555C8" w:rsidRPr="00BF6B88" w:rsidRDefault="00BF6B88" w:rsidP="00F70966">
            <w:pPr>
              <w:rPr>
                <w:szCs w:val="20"/>
              </w:rPr>
            </w:pPr>
            <w:r w:rsidRPr="00BF6B88">
              <w:rPr>
                <w:szCs w:val="20"/>
              </w:rPr>
              <w:t>N/A</w:t>
            </w:r>
          </w:p>
        </w:tc>
      </w:tr>
    </w:tbl>
    <w:p w14:paraId="2E2C759F" w14:textId="2A6B8EFD" w:rsidR="00223231" w:rsidRPr="00223231" w:rsidRDefault="00223231" w:rsidP="00223231">
      <w:pPr>
        <w:rPr>
          <w:sz w:val="18"/>
          <w:szCs w:val="18"/>
        </w:rPr>
      </w:pPr>
      <w:r>
        <w:rPr>
          <w:sz w:val="18"/>
          <w:szCs w:val="18"/>
        </w:rPr>
        <w:t xml:space="preserve">* Capped at the RUL of the host equipment. See paragraph above for explanation. </w:t>
      </w:r>
    </w:p>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42A3B6A3" w14:textId="232FDDF5" w:rsidR="00A555C8" w:rsidRDefault="00A555C8" w:rsidP="00A555C8">
      <w:pPr>
        <w:rPr>
          <w:rFonts w:cstheme="minorHAnsi"/>
          <w:szCs w:val="22"/>
        </w:rPr>
      </w:pPr>
      <w:r w:rsidRPr="00DB4BA7">
        <w:rPr>
          <w:rFonts w:cstheme="minorHAnsi"/>
          <w:szCs w:val="22"/>
        </w:rPr>
        <w:t>The 201</w:t>
      </w:r>
      <w:r w:rsidR="00900C44" w:rsidRPr="00DB4BA7">
        <w:rPr>
          <w:rFonts w:cstheme="minorHAnsi"/>
          <w:szCs w:val="22"/>
        </w:rPr>
        <w:t>7</w:t>
      </w:r>
      <w:r w:rsidRPr="00DB4BA7">
        <w:rPr>
          <w:rFonts w:cstheme="minorHAnsi"/>
          <w:szCs w:val="22"/>
        </w:rPr>
        <w:t xml:space="preserve"> Appliance Efficiency Regulations (Title 20) [</w:t>
      </w:r>
      <w:r w:rsidR="00900C44" w:rsidRPr="00DB4BA7">
        <w:rPr>
          <w:rFonts w:cstheme="minorHAnsi"/>
          <w:szCs w:val="22"/>
        </w:rPr>
        <w:t>A</w:t>
      </w:r>
      <w:r w:rsidRPr="00DB4BA7">
        <w:rPr>
          <w:rFonts w:cstheme="minorHAnsi"/>
          <w:szCs w:val="22"/>
        </w:rPr>
        <w:t>] Section 1605.1(a</w:t>
      </w:r>
      <w:proofErr w:type="gramStart"/>
      <w:r w:rsidRPr="00DB4BA7">
        <w:rPr>
          <w:rFonts w:cstheme="minorHAnsi"/>
          <w:szCs w:val="22"/>
        </w:rPr>
        <w:t>)(</w:t>
      </w:r>
      <w:proofErr w:type="gramEnd"/>
      <w:r w:rsidRPr="00DB4BA7">
        <w:rPr>
          <w:rFonts w:cstheme="minorHAnsi"/>
          <w:szCs w:val="22"/>
        </w:rPr>
        <w:t xml:space="preserve">4)(A) provides the following </w:t>
      </w:r>
      <w:r>
        <w:rPr>
          <w:rFonts w:cstheme="minorHAnsi"/>
          <w:szCs w:val="22"/>
        </w:rPr>
        <w:t>requirements for walk-in coolers and freezers manufactured on or after January 1, 2009:</w:t>
      </w:r>
    </w:p>
    <w:p w14:paraId="1DA258C5" w14:textId="77777777" w:rsidR="00A555C8" w:rsidRDefault="00A555C8" w:rsidP="00A555C8">
      <w:pPr>
        <w:rPr>
          <w:rFonts w:cstheme="minorHAnsi"/>
          <w:szCs w:val="22"/>
        </w:rPr>
      </w:pPr>
    </w:p>
    <w:p w14:paraId="783430F7" w14:textId="77777777" w:rsidR="00A555C8" w:rsidRPr="002744E0" w:rsidRDefault="00A555C8" w:rsidP="00A555C8">
      <w:pPr>
        <w:autoSpaceDE w:val="0"/>
        <w:autoSpaceDN w:val="0"/>
        <w:adjustRightInd w:val="0"/>
        <w:rPr>
          <w:rFonts w:eastAsiaTheme="minorHAnsi" w:cs="TimesNewRomanPSMT"/>
          <w:sz w:val="18"/>
          <w:szCs w:val="22"/>
        </w:rPr>
      </w:pPr>
      <w:proofErr w:type="gramStart"/>
      <w:r>
        <w:rPr>
          <w:rFonts w:eastAsiaTheme="minorHAnsi" w:cs="TimesNewRomanPSMT"/>
          <w:sz w:val="18"/>
          <w:szCs w:val="22"/>
        </w:rPr>
        <w:t>“</w:t>
      </w:r>
      <w:r w:rsidRPr="00A33C19">
        <w:rPr>
          <w:rFonts w:eastAsiaTheme="minorHAnsi" w:cs="TimesNewRomanPSMT"/>
          <w:sz w:val="18"/>
          <w:szCs w:val="22"/>
        </w:rPr>
        <w:t xml:space="preserve">(4) </w:t>
      </w:r>
      <w:r w:rsidRPr="00A33C19">
        <w:rPr>
          <w:rFonts w:eastAsiaTheme="minorHAnsi" w:cs="TimesNewRomanPS-BoldMT"/>
          <w:b/>
          <w:bCs/>
          <w:sz w:val="18"/>
          <w:szCs w:val="22"/>
        </w:rPr>
        <w:t>Walk-In Coolers and Walk-In Freezers.</w:t>
      </w:r>
      <w:proofErr w:type="gramEnd"/>
      <w:r w:rsidRPr="00A33C19">
        <w:rPr>
          <w:rFonts w:eastAsiaTheme="minorHAnsi" w:cs="TimesNewRomanPS-BoldMT"/>
          <w:b/>
          <w:bCs/>
          <w:sz w:val="18"/>
          <w:szCs w:val="22"/>
        </w:rPr>
        <w:t xml:space="preserve"> </w:t>
      </w:r>
      <w:r w:rsidRPr="00A33C19">
        <w:rPr>
          <w:rFonts w:eastAsiaTheme="minorHAnsi" w:cs="TimesNewRomanPSMT"/>
          <w:sz w:val="18"/>
          <w:szCs w:val="22"/>
        </w:rPr>
        <w:t>Walk-in coolers and walk-in freezers manufactured on or after January 1, 2009 shall:</w:t>
      </w:r>
    </w:p>
    <w:p w14:paraId="054764CD" w14:textId="77777777" w:rsidR="00A555C8" w:rsidRDefault="00A555C8" w:rsidP="00A555C8">
      <w:pPr>
        <w:autoSpaceDE w:val="0"/>
        <w:autoSpaceDN w:val="0"/>
        <w:adjustRightInd w:val="0"/>
        <w:rPr>
          <w:rFonts w:eastAsiaTheme="minorHAnsi" w:cs="TimesNewRomanPSMT"/>
          <w:sz w:val="18"/>
          <w:szCs w:val="22"/>
        </w:rPr>
      </w:pPr>
      <w:r w:rsidRPr="00A33C19">
        <w:rPr>
          <w:rFonts w:eastAsiaTheme="minorHAnsi" w:cs="TimesNewRomanPSMT"/>
          <w:sz w:val="18"/>
          <w:szCs w:val="22"/>
        </w:rPr>
        <w:t>(A) have automatic door closers that firmly close all walk-in doors that have been closed to within one</w:t>
      </w:r>
      <w:r>
        <w:rPr>
          <w:rFonts w:eastAsiaTheme="minorHAnsi" w:cs="TimesNewRomanPSMT"/>
          <w:sz w:val="18"/>
          <w:szCs w:val="22"/>
        </w:rPr>
        <w:t xml:space="preserve"> </w:t>
      </w:r>
      <w:r w:rsidRPr="00A33C19">
        <w:rPr>
          <w:rFonts w:eastAsiaTheme="minorHAnsi" w:cs="TimesNewRomanPSMT"/>
          <w:sz w:val="18"/>
          <w:szCs w:val="22"/>
        </w:rPr>
        <w:t>inch of full closure, except that this subparagraph shall not apply to doors wider than three feet nine</w:t>
      </w:r>
      <w:r>
        <w:rPr>
          <w:rFonts w:eastAsiaTheme="minorHAnsi" w:cs="TimesNewRomanPSMT"/>
          <w:sz w:val="18"/>
          <w:szCs w:val="22"/>
        </w:rPr>
        <w:t xml:space="preserve"> </w:t>
      </w:r>
      <w:r w:rsidRPr="00A33C19">
        <w:rPr>
          <w:rFonts w:eastAsiaTheme="minorHAnsi" w:cs="TimesNewRomanPSMT"/>
          <w:sz w:val="18"/>
          <w:szCs w:val="22"/>
        </w:rPr>
        <w:t>inches or taller than seven feet;</w:t>
      </w:r>
      <w:r>
        <w:rPr>
          <w:rFonts w:eastAsiaTheme="minorHAnsi" w:cs="TimesNewRomanPSMT"/>
          <w:sz w:val="18"/>
          <w:szCs w:val="22"/>
        </w:rPr>
        <w:t>”</w:t>
      </w:r>
    </w:p>
    <w:p w14:paraId="1EF2C3B2" w14:textId="77777777" w:rsidR="00A555C8" w:rsidRDefault="00A555C8" w:rsidP="00A555C8">
      <w:pPr>
        <w:rPr>
          <w:rFonts w:eastAsiaTheme="minorHAnsi" w:cs="TimesNewRomanPSMT"/>
          <w:szCs w:val="22"/>
        </w:rPr>
      </w:pPr>
    </w:p>
    <w:p w14:paraId="2EF16D17" w14:textId="78F10FD5" w:rsidR="00A555C8" w:rsidRPr="00A555C8" w:rsidRDefault="00C52C01" w:rsidP="00A555C8">
      <w:pPr>
        <w:pStyle w:val="Caption"/>
        <w:keepNext/>
        <w:rPr>
          <w:rFonts w:cstheme="minorHAnsi"/>
          <w:b w:val="0"/>
          <w:szCs w:val="22"/>
        </w:rPr>
      </w:pPr>
      <w:r>
        <w:rPr>
          <w:rFonts w:eastAsiaTheme="minorHAnsi" w:cs="TimesNewRomanPSMT"/>
          <w:b w:val="0"/>
          <w:szCs w:val="22"/>
        </w:rPr>
        <w:t>T</w:t>
      </w:r>
      <w:r w:rsidR="00A555C8" w:rsidRPr="00A555C8">
        <w:rPr>
          <w:rFonts w:eastAsiaTheme="minorHAnsi" w:cs="TimesNewRomanPSMT"/>
          <w:b w:val="0"/>
          <w:szCs w:val="22"/>
        </w:rPr>
        <w:t xml:space="preserve">he requirement of auto-closers applies to walk-ins manufactured on or after </w:t>
      </w:r>
      <w:r w:rsidR="00136BAD">
        <w:rPr>
          <w:rFonts w:eastAsiaTheme="minorHAnsi" w:cs="TimesNewRomanPSMT"/>
          <w:b w:val="0"/>
          <w:szCs w:val="22"/>
        </w:rPr>
        <w:t>January 1, 2009</w:t>
      </w:r>
      <w:r w:rsidR="00A555C8">
        <w:rPr>
          <w:rFonts w:eastAsiaTheme="minorHAnsi" w:cs="TimesNewRomanPSMT"/>
          <w:b w:val="0"/>
          <w:szCs w:val="22"/>
        </w:rPr>
        <w:t>.</w:t>
      </w:r>
      <w:r>
        <w:rPr>
          <w:rFonts w:eastAsiaTheme="minorHAnsi" w:cs="TimesNewRomanPSMT"/>
          <w:b w:val="0"/>
          <w:szCs w:val="22"/>
        </w:rPr>
        <w:t xml:space="preserve"> Hence, this work paper is only applicable to installing automatic door closers on walk-ins manufactured before January 1, 2009. </w:t>
      </w:r>
    </w:p>
    <w:p w14:paraId="7EF2C605" w14:textId="77777777" w:rsidR="00A555C8" w:rsidRPr="00A555C8" w:rsidRDefault="00A555C8" w:rsidP="00A555C8"/>
    <w:p w14:paraId="284601E7" w14:textId="410F3A65" w:rsidR="00B07EE5" w:rsidRPr="00500C4E" w:rsidRDefault="005A1078" w:rsidP="00DA5082">
      <w:pPr>
        <w:pStyle w:val="Caption"/>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EE3703">
        <w:tc>
          <w:tcPr>
            <w:tcW w:w="1155" w:type="pct"/>
            <w:shd w:val="clear" w:color="auto" w:fill="D9D9D9" w:themeFill="background1" w:themeFillShade="D9"/>
          </w:tcPr>
          <w:p w14:paraId="20C3C2B4" w14:textId="77777777" w:rsidR="00881A42" w:rsidRPr="00920905" w:rsidRDefault="00881A42" w:rsidP="00EE3703">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EE3703">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EE3703">
            <w:pPr>
              <w:rPr>
                <w:rFonts w:cstheme="minorHAnsi"/>
                <w:b/>
                <w:szCs w:val="20"/>
              </w:rPr>
            </w:pPr>
            <w:r w:rsidRPr="00920905">
              <w:rPr>
                <w:rFonts w:cstheme="minorHAnsi"/>
                <w:b/>
                <w:szCs w:val="20"/>
              </w:rPr>
              <w:t>Effective Date</w:t>
            </w:r>
            <w:r w:rsidR="00CB04D2">
              <w:rPr>
                <w:rFonts w:cstheme="minorHAnsi"/>
                <w:b/>
                <w:szCs w:val="20"/>
              </w:rPr>
              <w:t>s</w:t>
            </w:r>
          </w:p>
        </w:tc>
      </w:tr>
      <w:tr w:rsidR="00DB4BA7" w:rsidRPr="00DB4BA7" w14:paraId="41E6B4DA" w14:textId="77777777" w:rsidTr="00EE3703">
        <w:trPr>
          <w:trHeight w:val="243"/>
        </w:trPr>
        <w:tc>
          <w:tcPr>
            <w:tcW w:w="1155" w:type="pct"/>
          </w:tcPr>
          <w:p w14:paraId="16A44F28" w14:textId="421F2F8A" w:rsidR="00A555C8" w:rsidRPr="00DB4BA7" w:rsidRDefault="00A555C8" w:rsidP="00900C44">
            <w:pPr>
              <w:rPr>
                <w:rFonts w:cstheme="minorHAnsi"/>
                <w:szCs w:val="20"/>
              </w:rPr>
            </w:pPr>
            <w:r w:rsidRPr="00DB4BA7">
              <w:rPr>
                <w:rFonts w:cstheme="minorHAnsi"/>
                <w:szCs w:val="20"/>
              </w:rPr>
              <w:t>Title 20 (201</w:t>
            </w:r>
            <w:r w:rsidR="00900C44" w:rsidRPr="00DB4BA7">
              <w:rPr>
                <w:rFonts w:cstheme="minorHAnsi"/>
                <w:szCs w:val="20"/>
              </w:rPr>
              <w:t>7</w:t>
            </w:r>
            <w:r w:rsidRPr="00DB4BA7">
              <w:rPr>
                <w:rFonts w:cstheme="minorHAnsi"/>
                <w:szCs w:val="20"/>
              </w:rPr>
              <w:t>)</w:t>
            </w:r>
          </w:p>
        </w:tc>
        <w:tc>
          <w:tcPr>
            <w:tcW w:w="2711" w:type="pct"/>
          </w:tcPr>
          <w:p w14:paraId="387D6828" w14:textId="6CD2BBF9" w:rsidR="00A555C8" w:rsidRPr="00DB4BA7" w:rsidRDefault="00A555C8" w:rsidP="00EE3703">
            <w:pPr>
              <w:rPr>
                <w:rFonts w:cstheme="minorHAnsi"/>
                <w:szCs w:val="20"/>
              </w:rPr>
            </w:pPr>
            <w:r w:rsidRPr="00DB4BA7">
              <w:rPr>
                <w:rFonts w:cstheme="minorHAnsi"/>
                <w:szCs w:val="20"/>
              </w:rPr>
              <w:t>Section 1605.1(a)(4)</w:t>
            </w:r>
            <w:r w:rsidR="00900C44" w:rsidRPr="00DB4BA7">
              <w:rPr>
                <w:rFonts w:cstheme="minorHAnsi"/>
                <w:szCs w:val="20"/>
              </w:rPr>
              <w:t>(A)</w:t>
            </w:r>
          </w:p>
        </w:tc>
        <w:tc>
          <w:tcPr>
            <w:tcW w:w="1134" w:type="pct"/>
          </w:tcPr>
          <w:p w14:paraId="3E1189F8" w14:textId="46F62ABF" w:rsidR="00A555C8" w:rsidRPr="00DB4BA7" w:rsidRDefault="00900C44" w:rsidP="00900C44">
            <w:pPr>
              <w:rPr>
                <w:rFonts w:cstheme="minorHAnsi"/>
                <w:szCs w:val="20"/>
              </w:rPr>
            </w:pPr>
            <w:r w:rsidRPr="00DB4BA7">
              <w:rPr>
                <w:rFonts w:cstheme="minorHAnsi"/>
                <w:szCs w:val="20"/>
              </w:rPr>
              <w:t>April</w:t>
            </w:r>
            <w:r w:rsidR="00136BAD" w:rsidRPr="00DB4BA7">
              <w:rPr>
                <w:rFonts w:cstheme="minorHAnsi"/>
                <w:szCs w:val="20"/>
              </w:rPr>
              <w:t>, 20</w:t>
            </w:r>
            <w:r w:rsidRPr="00DB4BA7">
              <w:rPr>
                <w:rFonts w:cstheme="minorHAnsi"/>
                <w:szCs w:val="20"/>
              </w:rPr>
              <w:t>17</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417607D6" w:rsidR="00572D2F" w:rsidRDefault="00572D2F" w:rsidP="00920905">
      <w:pPr>
        <w:pStyle w:val="Heading3"/>
        <w:rPr>
          <w:rFonts w:asciiTheme="minorHAnsi" w:hAnsiTheme="minorHAnsi"/>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A555C8" w:rsidRPr="00AB21F5">
        <w:rPr>
          <w:rFonts w:asciiTheme="minorHAnsi" w:hAnsiTheme="minorHAnsi"/>
        </w:rPr>
        <w:t>Non-DEER Study Review</w:t>
      </w:r>
    </w:p>
    <w:p w14:paraId="4CC65A22" w14:textId="5D7401A7" w:rsidR="00A555C8" w:rsidRPr="00A555C8" w:rsidRDefault="00A555C8" w:rsidP="00A555C8">
      <w:r w:rsidRPr="007F1316">
        <w:rPr>
          <w:rFonts w:cstheme="minorHAnsi"/>
          <w:szCs w:val="22"/>
        </w:rPr>
        <w:t>All references used in this work paper were from current or past DEER.</w:t>
      </w:r>
    </w:p>
    <w:p w14:paraId="7595638C" w14:textId="76F7B06D" w:rsidR="00A555C8" w:rsidRPr="00A555C8" w:rsidRDefault="009844A1" w:rsidP="00A555C8">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7F18D6DC" w14:textId="17384534" w:rsidR="00A555C8" w:rsidRPr="00A555C8" w:rsidRDefault="00A555C8" w:rsidP="00A555C8">
      <w:r>
        <w:t>N/A</w:t>
      </w:r>
    </w:p>
    <w:p w14:paraId="64C39C41" w14:textId="16E32C10" w:rsidR="00A555C8" w:rsidRDefault="00E16609" w:rsidP="00E16609">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bookmarkStart w:id="17" w:name="_Toc214003093"/>
    </w:p>
    <w:p w14:paraId="24ACB524" w14:textId="7F764E9A" w:rsidR="00A555C8" w:rsidRDefault="00A555C8" w:rsidP="00A555C8">
      <w:pPr>
        <w:pStyle w:val="Reminders"/>
        <w:rPr>
          <w:rFonts w:asciiTheme="minorHAnsi" w:hAnsiTheme="minorHAnsi" w:cstheme="minorHAnsi"/>
          <w:i w:val="0"/>
          <w:color w:val="auto"/>
          <w:szCs w:val="22"/>
        </w:rPr>
      </w:pPr>
      <w:r w:rsidRPr="00473D35">
        <w:rPr>
          <w:rFonts w:asciiTheme="minorHAnsi" w:hAnsiTheme="minorHAnsi" w:cstheme="minorHAnsi"/>
          <w:i w:val="0"/>
          <w:color w:val="auto"/>
          <w:szCs w:val="22"/>
        </w:rPr>
        <w:t>The measures in this work paper are not in DEER 201</w:t>
      </w:r>
      <w:r w:rsidR="00B54BA4">
        <w:rPr>
          <w:rFonts w:asciiTheme="minorHAnsi" w:hAnsiTheme="minorHAnsi" w:cstheme="minorHAnsi"/>
          <w:i w:val="0"/>
          <w:color w:val="auto"/>
          <w:szCs w:val="22"/>
        </w:rPr>
        <w:t>7</w:t>
      </w:r>
      <w:r w:rsidRPr="00473D35">
        <w:rPr>
          <w:rFonts w:asciiTheme="minorHAnsi" w:hAnsiTheme="minorHAnsi" w:cstheme="minorHAnsi"/>
          <w:i w:val="0"/>
          <w:color w:val="auto"/>
          <w:szCs w:val="22"/>
        </w:rPr>
        <w:t xml:space="preserve">, so the energy savings were determined through building simulation in </w:t>
      </w:r>
      <w:proofErr w:type="spellStart"/>
      <w:r w:rsidRPr="00473D35">
        <w:rPr>
          <w:rFonts w:asciiTheme="minorHAnsi" w:hAnsiTheme="minorHAnsi" w:cstheme="minorHAnsi"/>
          <w:i w:val="0"/>
          <w:color w:val="auto"/>
          <w:szCs w:val="22"/>
        </w:rPr>
        <w:t>eQUEST</w:t>
      </w:r>
      <w:proofErr w:type="spellEnd"/>
      <w:r w:rsidRPr="00473D35">
        <w:rPr>
          <w:rFonts w:asciiTheme="minorHAnsi" w:hAnsiTheme="minorHAnsi" w:cstheme="minorHAnsi"/>
          <w:i w:val="0"/>
          <w:color w:val="auto"/>
          <w:szCs w:val="22"/>
        </w:rPr>
        <w:t xml:space="preserve"> 3.65 Refrigeration. Only the Grocery building type was </w:t>
      </w:r>
      <w:proofErr w:type="gramStart"/>
      <w:r w:rsidRPr="00473D35">
        <w:rPr>
          <w:rFonts w:asciiTheme="minorHAnsi" w:hAnsiTheme="minorHAnsi" w:cstheme="minorHAnsi"/>
          <w:i w:val="0"/>
          <w:color w:val="auto"/>
          <w:szCs w:val="22"/>
        </w:rPr>
        <w:t>simulated,</w:t>
      </w:r>
      <w:proofErr w:type="gramEnd"/>
      <w:r w:rsidRPr="00473D35">
        <w:rPr>
          <w:rFonts w:asciiTheme="minorHAnsi" w:hAnsiTheme="minorHAnsi" w:cstheme="minorHAnsi"/>
          <w:i w:val="0"/>
          <w:color w:val="auto"/>
          <w:szCs w:val="22"/>
        </w:rPr>
        <w:t xml:space="preserve"> and its savings were used for other building types because walk-in coolers and freezers generally have the same characteristics regardless of building type.</w:t>
      </w:r>
    </w:p>
    <w:p w14:paraId="10ADDB5B" w14:textId="77777777" w:rsidR="00A555C8" w:rsidRDefault="00A555C8" w:rsidP="00A555C8">
      <w:pPr>
        <w:pStyle w:val="Reminders"/>
        <w:rPr>
          <w:rFonts w:asciiTheme="minorHAnsi" w:hAnsiTheme="minorHAnsi" w:cstheme="minorHAnsi"/>
          <w:i w:val="0"/>
          <w:color w:val="auto"/>
          <w:szCs w:val="22"/>
        </w:rPr>
      </w:pPr>
    </w:p>
    <w:p w14:paraId="78C4EB27" w14:textId="77777777" w:rsidR="00A555C8" w:rsidRPr="0004002D" w:rsidRDefault="00A555C8" w:rsidP="00A555C8">
      <w:pPr>
        <w:pStyle w:val="Reminders"/>
        <w:rPr>
          <w:rFonts w:asciiTheme="minorHAnsi" w:hAnsiTheme="minorHAnsi" w:cstheme="minorHAnsi"/>
          <w:i w:val="0"/>
          <w:color w:val="auto"/>
          <w:szCs w:val="22"/>
          <w:u w:val="single"/>
        </w:rPr>
      </w:pPr>
      <w:r w:rsidRPr="0004002D">
        <w:rPr>
          <w:rFonts w:asciiTheme="minorHAnsi" w:hAnsiTheme="minorHAnsi" w:cstheme="minorHAnsi"/>
          <w:i w:val="0"/>
          <w:color w:val="auto"/>
          <w:szCs w:val="22"/>
          <w:u w:val="single"/>
        </w:rPr>
        <w:t xml:space="preserve">Prototype generation </w:t>
      </w:r>
    </w:p>
    <w:p w14:paraId="357E20BE" w14:textId="77777777" w:rsidR="00A555C8" w:rsidRPr="0004002D" w:rsidRDefault="00A555C8" w:rsidP="00A555C8">
      <w:pPr>
        <w:pStyle w:val="Reminders"/>
        <w:rPr>
          <w:rFonts w:asciiTheme="minorHAnsi" w:hAnsiTheme="minorHAnsi" w:cstheme="minorHAnsi"/>
          <w:i w:val="0"/>
          <w:color w:val="auto"/>
          <w:szCs w:val="22"/>
        </w:rPr>
      </w:pPr>
      <w:proofErr w:type="spellStart"/>
      <w:r w:rsidRPr="0004002D">
        <w:rPr>
          <w:rFonts w:asciiTheme="minorHAnsi" w:hAnsiTheme="minorHAnsi" w:cstheme="minorHAnsi"/>
          <w:i w:val="0"/>
          <w:color w:val="auto"/>
          <w:szCs w:val="22"/>
        </w:rPr>
        <w:t>MASControl</w:t>
      </w:r>
      <w:proofErr w:type="spellEnd"/>
      <w:r w:rsidRPr="0004002D">
        <w:rPr>
          <w:rFonts w:asciiTheme="minorHAnsi" w:hAnsiTheme="minorHAnsi" w:cstheme="minorHAnsi"/>
          <w:i w:val="0"/>
          <w:color w:val="auto"/>
          <w:szCs w:val="22"/>
        </w:rPr>
        <w:t xml:space="preserve"> v3.00.20 was used to generate the DEER 2014 Grocery prototype files using the following parameters: </w:t>
      </w:r>
    </w:p>
    <w:p w14:paraId="42BAF051"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Building Type: Grocery </w:t>
      </w:r>
    </w:p>
    <w:p w14:paraId="18A21E5B"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Climate Zones: 1, 2, 3, 4, 5, 6, 8, 9, 10, 11, 12, 13, 14, 15, 16 </w:t>
      </w:r>
    </w:p>
    <w:p w14:paraId="1E73551D"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Vintage: “14” (years 2014-2015) </w:t>
      </w:r>
    </w:p>
    <w:p w14:paraId="4994FB06"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lastRenderedPageBreak/>
        <w:t>•</w:t>
      </w:r>
      <w:r w:rsidRPr="0004002D">
        <w:rPr>
          <w:rFonts w:asciiTheme="minorHAnsi" w:hAnsiTheme="minorHAnsi" w:cstheme="minorHAnsi"/>
          <w:i w:val="0"/>
          <w:color w:val="auto"/>
          <w:szCs w:val="22"/>
        </w:rPr>
        <w:t xml:space="preserve">HVAC Type: Blank (Default) </w:t>
      </w:r>
    </w:p>
    <w:p w14:paraId="736EE593"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Thermostat Options: Blank (Default) </w:t>
      </w:r>
    </w:p>
    <w:p w14:paraId="006A34CA"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Case Options: </w:t>
      </w:r>
      <w:proofErr w:type="spellStart"/>
      <w:r w:rsidRPr="0004002D">
        <w:rPr>
          <w:rFonts w:asciiTheme="minorHAnsi" w:hAnsiTheme="minorHAnsi" w:cstheme="minorHAnsi"/>
          <w:i w:val="0"/>
          <w:color w:val="auto"/>
          <w:szCs w:val="22"/>
        </w:rPr>
        <w:t>CAv</w:t>
      </w:r>
      <w:proofErr w:type="spellEnd"/>
      <w:r w:rsidRPr="0004002D">
        <w:rPr>
          <w:rFonts w:asciiTheme="minorHAnsi" w:hAnsiTheme="minorHAnsi" w:cstheme="minorHAnsi"/>
          <w:i w:val="0"/>
          <w:color w:val="auto"/>
          <w:szCs w:val="22"/>
        </w:rPr>
        <w:t xml:space="preserve"> (Customer Average), C13 (Code 2013) </w:t>
      </w:r>
    </w:p>
    <w:p w14:paraId="0577CA94"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Tech ID: “D08-NE-HVAC-airAC-SpltPkg-135to239kBtuh-10p8eer” </w:t>
      </w:r>
    </w:p>
    <w:p w14:paraId="5FA35526" w14:textId="77777777" w:rsidR="00A555C8" w:rsidRPr="0004002D" w:rsidRDefault="00A555C8" w:rsidP="00A555C8">
      <w:pPr>
        <w:pStyle w:val="Reminders"/>
        <w:rPr>
          <w:rFonts w:asciiTheme="minorHAnsi" w:hAnsiTheme="minorHAnsi" w:cstheme="minorHAnsi"/>
          <w:i w:val="0"/>
          <w:color w:val="auto"/>
          <w:szCs w:val="22"/>
        </w:rPr>
      </w:pPr>
    </w:p>
    <w:p w14:paraId="18067FC9" w14:textId="78B26DAB" w:rsidR="00A555C8" w:rsidRPr="0004002D" w:rsidRDefault="00A555C8" w:rsidP="00A555C8">
      <w:pPr>
        <w:pStyle w:val="Reminders"/>
        <w:rPr>
          <w:rFonts w:asciiTheme="minorHAnsi" w:hAnsiTheme="minorHAnsi" w:cstheme="minorHAnsi"/>
          <w:i w:val="0"/>
          <w:color w:val="auto"/>
          <w:szCs w:val="22"/>
        </w:rPr>
      </w:pPr>
      <w:r w:rsidRPr="0004002D">
        <w:rPr>
          <w:rFonts w:asciiTheme="minorHAnsi" w:hAnsiTheme="minorHAnsi" w:cstheme="minorHAnsi"/>
          <w:i w:val="0"/>
          <w:color w:val="auto"/>
          <w:szCs w:val="22"/>
        </w:rPr>
        <w:t>The C13 case model was used as the baseline for this work paper. The Energy Division advised that the prototype’s refrigeration systems were not updated after DEER 2005 and therefore may not reflect industry standard practice and/or code. Since a non-refrigeration Tech ID was selected, the HVAC system, building envelope, and other systems should be compliant with Title 24 201</w:t>
      </w:r>
      <w:r w:rsidR="002E3D89">
        <w:rPr>
          <w:rFonts w:asciiTheme="minorHAnsi" w:hAnsiTheme="minorHAnsi" w:cstheme="minorHAnsi"/>
          <w:i w:val="0"/>
          <w:color w:val="auto"/>
          <w:szCs w:val="22"/>
        </w:rPr>
        <w:t>6</w:t>
      </w:r>
      <w:r w:rsidRPr="0004002D">
        <w:rPr>
          <w:rFonts w:asciiTheme="minorHAnsi" w:hAnsiTheme="minorHAnsi" w:cstheme="minorHAnsi"/>
          <w:i w:val="0"/>
          <w:color w:val="auto"/>
          <w:szCs w:val="22"/>
        </w:rPr>
        <w:t xml:space="preserve"> standards. </w:t>
      </w:r>
    </w:p>
    <w:p w14:paraId="4C61089A" w14:textId="77777777" w:rsidR="00A555C8" w:rsidRPr="0004002D" w:rsidRDefault="00A555C8" w:rsidP="00A555C8">
      <w:pPr>
        <w:pStyle w:val="Reminders"/>
        <w:rPr>
          <w:rFonts w:asciiTheme="minorHAnsi" w:hAnsiTheme="minorHAnsi" w:cstheme="minorHAnsi"/>
          <w:i w:val="0"/>
          <w:color w:val="auto"/>
          <w:szCs w:val="22"/>
        </w:rPr>
      </w:pPr>
    </w:p>
    <w:p w14:paraId="4193D9D5" w14:textId="77777777" w:rsidR="00A555C8" w:rsidRPr="0004002D" w:rsidRDefault="00A555C8" w:rsidP="00A555C8">
      <w:pPr>
        <w:pStyle w:val="Reminders"/>
        <w:rPr>
          <w:rFonts w:asciiTheme="minorHAnsi" w:hAnsiTheme="minorHAnsi" w:cstheme="minorHAnsi"/>
          <w:i w:val="0"/>
          <w:color w:val="auto"/>
          <w:szCs w:val="22"/>
          <w:u w:val="single"/>
        </w:rPr>
      </w:pPr>
      <w:r w:rsidRPr="0004002D">
        <w:rPr>
          <w:rFonts w:asciiTheme="minorHAnsi" w:hAnsiTheme="minorHAnsi" w:cstheme="minorHAnsi"/>
          <w:i w:val="0"/>
          <w:color w:val="auto"/>
          <w:szCs w:val="22"/>
          <w:u w:val="single"/>
        </w:rPr>
        <w:t xml:space="preserve">Simulation </w:t>
      </w:r>
    </w:p>
    <w:p w14:paraId="60188AB5" w14:textId="77777777" w:rsidR="00A555C8" w:rsidRDefault="00A555C8" w:rsidP="00A555C8">
      <w:pPr>
        <w:pStyle w:val="Reminders"/>
        <w:rPr>
          <w:rFonts w:asciiTheme="minorHAnsi" w:hAnsiTheme="minorHAnsi" w:cstheme="minorHAnsi"/>
          <w:i w:val="0"/>
          <w:color w:val="auto"/>
          <w:szCs w:val="22"/>
        </w:rPr>
      </w:pPr>
      <w:r w:rsidRPr="0004002D">
        <w:rPr>
          <w:rFonts w:asciiTheme="minorHAnsi" w:hAnsiTheme="minorHAnsi" w:cstheme="minorHAnsi"/>
          <w:i w:val="0"/>
          <w:color w:val="auto"/>
          <w:szCs w:val="22"/>
        </w:rPr>
        <w:t xml:space="preserve">In order to create the measure cases, the baseline </w:t>
      </w:r>
      <w:proofErr w:type="spellStart"/>
      <w:r w:rsidRPr="0004002D">
        <w:rPr>
          <w:rFonts w:asciiTheme="minorHAnsi" w:hAnsiTheme="minorHAnsi" w:cstheme="minorHAnsi"/>
          <w:i w:val="0"/>
          <w:color w:val="auto"/>
          <w:szCs w:val="22"/>
        </w:rPr>
        <w:t>eQUEST</w:t>
      </w:r>
      <w:proofErr w:type="spellEnd"/>
      <w:r w:rsidRPr="0004002D">
        <w:rPr>
          <w:rFonts w:asciiTheme="minorHAnsi" w:hAnsiTheme="minorHAnsi" w:cstheme="minorHAnsi"/>
          <w:i w:val="0"/>
          <w:color w:val="auto"/>
          <w:szCs w:val="22"/>
        </w:rPr>
        <w:t xml:space="preserve"> model was edited.  Infiltration into the coolers is modeled as a SOURCE load in the SPACE command. The measure applies a multiplier of 0.60 to the base case source load; effectively reducing infiltration by 40% on average.</w:t>
      </w:r>
    </w:p>
    <w:p w14:paraId="288E22CA" w14:textId="77777777" w:rsidR="00A555C8" w:rsidRDefault="00A555C8" w:rsidP="00A555C8">
      <w:pPr>
        <w:pStyle w:val="Reminders"/>
        <w:rPr>
          <w:rFonts w:asciiTheme="minorHAnsi" w:hAnsiTheme="minorHAnsi" w:cstheme="minorHAnsi"/>
          <w:i w:val="0"/>
          <w:color w:val="auto"/>
          <w:szCs w:val="22"/>
        </w:rPr>
      </w:pPr>
    </w:p>
    <w:p w14:paraId="6FD95B79" w14:textId="77777777" w:rsidR="00A555C8"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differs from the method used to estimate the energy savings in the DEER05 calculations. The DEER05 calculations assumed a 40% reduction in the source power of the cooler. The new method reduces the infiltration rate of the cooler as defined by the measure. </w:t>
      </w:r>
    </w:p>
    <w:p w14:paraId="009724BA" w14:textId="77777777" w:rsidR="00A555C8" w:rsidRDefault="00A555C8" w:rsidP="00A555C8">
      <w:pPr>
        <w:pStyle w:val="Reminders"/>
        <w:rPr>
          <w:rFonts w:asciiTheme="minorHAnsi" w:hAnsiTheme="minorHAnsi" w:cstheme="minorHAnsi"/>
          <w:i w:val="0"/>
          <w:color w:val="auto"/>
          <w:szCs w:val="22"/>
        </w:rPr>
      </w:pPr>
    </w:p>
    <w:p w14:paraId="4168991C" w14:textId="77777777" w:rsidR="00A555C8" w:rsidRPr="0004002D" w:rsidRDefault="00A555C8" w:rsidP="00A555C8">
      <w:pPr>
        <w:pStyle w:val="Reminders"/>
        <w:rPr>
          <w:rFonts w:asciiTheme="minorHAnsi" w:hAnsiTheme="minorHAnsi" w:cstheme="minorHAnsi"/>
          <w:i w:val="0"/>
          <w:color w:val="auto"/>
          <w:szCs w:val="22"/>
        </w:rPr>
      </w:pPr>
      <w:r w:rsidRPr="0004002D">
        <w:rPr>
          <w:rFonts w:asciiTheme="minorHAnsi" w:hAnsiTheme="minorHAnsi" w:cstheme="minorHAnsi"/>
          <w:i w:val="0"/>
          <w:color w:val="auto"/>
          <w:szCs w:val="22"/>
        </w:rPr>
        <w:t>The simulation results were tabulated, and savings were determined; see Attachment 2. See Attachmen</w:t>
      </w:r>
      <w:r>
        <w:rPr>
          <w:rFonts w:asciiTheme="minorHAnsi" w:hAnsiTheme="minorHAnsi" w:cstheme="minorHAnsi"/>
          <w:i w:val="0"/>
          <w:color w:val="auto"/>
          <w:szCs w:val="22"/>
        </w:rPr>
        <w:t xml:space="preserve">t 3 for the </w:t>
      </w:r>
      <w:proofErr w:type="spellStart"/>
      <w:r>
        <w:rPr>
          <w:rFonts w:asciiTheme="minorHAnsi" w:hAnsiTheme="minorHAnsi" w:cstheme="minorHAnsi"/>
          <w:i w:val="0"/>
          <w:color w:val="auto"/>
          <w:szCs w:val="22"/>
        </w:rPr>
        <w:t>eQUEST</w:t>
      </w:r>
      <w:proofErr w:type="spellEnd"/>
      <w:r>
        <w:rPr>
          <w:rFonts w:asciiTheme="minorHAnsi" w:hAnsiTheme="minorHAnsi" w:cstheme="minorHAnsi"/>
          <w:i w:val="0"/>
          <w:color w:val="auto"/>
          <w:szCs w:val="22"/>
        </w:rPr>
        <w:t xml:space="preserve"> files used. </w:t>
      </w:r>
      <w:r w:rsidRPr="0004002D">
        <w:rPr>
          <w:rFonts w:asciiTheme="minorHAnsi" w:hAnsiTheme="minorHAnsi" w:cstheme="minorHAnsi"/>
          <w:i w:val="0"/>
          <w:color w:val="auto"/>
          <w:szCs w:val="22"/>
        </w:rPr>
        <w:t xml:space="preserve"> </w:t>
      </w:r>
    </w:p>
    <w:p w14:paraId="64C6A116" w14:textId="77777777" w:rsidR="00A555C8" w:rsidRPr="0004002D" w:rsidRDefault="00A555C8" w:rsidP="00A555C8">
      <w:pPr>
        <w:pStyle w:val="Reminders"/>
        <w:rPr>
          <w:rFonts w:asciiTheme="minorHAnsi" w:hAnsiTheme="minorHAnsi" w:cstheme="minorHAnsi"/>
          <w:i w:val="0"/>
          <w:color w:val="auto"/>
          <w:szCs w:val="22"/>
        </w:rPr>
      </w:pPr>
    </w:p>
    <w:p w14:paraId="2F4C1D68" w14:textId="70843182" w:rsidR="00DB0223" w:rsidRPr="00DB4BA7" w:rsidRDefault="00A555C8" w:rsidP="00A555C8">
      <w:pPr>
        <w:pStyle w:val="Reminders"/>
        <w:rPr>
          <w:rFonts w:asciiTheme="minorHAnsi" w:hAnsiTheme="minorHAnsi" w:cstheme="minorHAnsi"/>
          <w:i w:val="0"/>
          <w:color w:val="auto"/>
          <w:szCs w:val="22"/>
        </w:rPr>
      </w:pPr>
      <w:r w:rsidRPr="0004002D">
        <w:rPr>
          <w:rFonts w:asciiTheme="minorHAnsi" w:hAnsiTheme="minorHAnsi" w:cstheme="minorHAnsi"/>
          <w:i w:val="0"/>
          <w:color w:val="auto"/>
          <w:szCs w:val="22"/>
        </w:rPr>
        <w:t xml:space="preserve">Demand reduction: The DEER peak demand was calculated from the </w:t>
      </w:r>
      <w:proofErr w:type="spellStart"/>
      <w:r w:rsidRPr="0004002D">
        <w:rPr>
          <w:rFonts w:asciiTheme="minorHAnsi" w:hAnsiTheme="minorHAnsi" w:cstheme="minorHAnsi"/>
          <w:i w:val="0"/>
          <w:color w:val="auto"/>
          <w:szCs w:val="22"/>
        </w:rPr>
        <w:t>eQUEST</w:t>
      </w:r>
      <w:proofErr w:type="spellEnd"/>
      <w:r w:rsidRPr="0004002D">
        <w:rPr>
          <w:rFonts w:asciiTheme="minorHAnsi" w:hAnsiTheme="minorHAnsi" w:cstheme="minorHAnsi"/>
          <w:i w:val="0"/>
          <w:color w:val="auto"/>
          <w:szCs w:val="22"/>
        </w:rPr>
        <w:t xml:space="preserve"> hourly data by averaging </w:t>
      </w:r>
      <w:r w:rsidRPr="00DB4BA7">
        <w:rPr>
          <w:rFonts w:asciiTheme="minorHAnsi" w:hAnsiTheme="minorHAnsi" w:cstheme="minorHAnsi"/>
          <w:i w:val="0"/>
          <w:color w:val="auto"/>
          <w:szCs w:val="22"/>
        </w:rPr>
        <w:t xml:space="preserve">the demand from 2pm to 5pm </w:t>
      </w:r>
      <w:r w:rsidR="00DB0223" w:rsidRPr="00DB4BA7">
        <w:rPr>
          <w:rFonts w:asciiTheme="minorHAnsi" w:hAnsiTheme="minorHAnsi" w:cstheme="minorHAnsi"/>
          <w:i w:val="0"/>
          <w:color w:val="auto"/>
          <w:szCs w:val="22"/>
        </w:rPr>
        <w:t xml:space="preserve">pm in the 3 consecutive peak days specified in the DEER2014  Update  documentation [386] for each climate zone. </w:t>
      </w:r>
      <w:r w:rsidR="00816B65" w:rsidRPr="00DB4BA7">
        <w:rPr>
          <w:rFonts w:asciiTheme="minorHAnsi" w:hAnsiTheme="minorHAnsi" w:cstheme="minorHAnsi"/>
          <w:i w:val="0"/>
          <w:color w:val="auto"/>
          <w:szCs w:val="22"/>
        </w:rPr>
        <w:t>DEER2017 Peak-Demand periods remain the same as DEER2014.</w:t>
      </w:r>
      <w:r w:rsidR="00565F5B" w:rsidRPr="00DB4BA7">
        <w:rPr>
          <w:color w:val="auto"/>
        </w:rPr>
        <w:t xml:space="preserve"> </w:t>
      </w:r>
      <w:r w:rsidR="00565F5B" w:rsidRPr="00DB4BA7">
        <w:rPr>
          <w:rFonts w:asciiTheme="minorHAnsi" w:hAnsiTheme="minorHAnsi" w:cstheme="minorHAnsi"/>
          <w:i w:val="0"/>
          <w:color w:val="auto"/>
          <w:szCs w:val="22"/>
        </w:rPr>
        <w:t>Therefore, DEER 2017 is the reference in this revision. Table below summarizes the 201</w:t>
      </w:r>
      <w:r w:rsidR="00E52550" w:rsidRPr="00DB4BA7">
        <w:rPr>
          <w:rFonts w:asciiTheme="minorHAnsi" w:hAnsiTheme="minorHAnsi" w:cstheme="minorHAnsi"/>
          <w:i w:val="0"/>
          <w:color w:val="auto"/>
          <w:szCs w:val="22"/>
        </w:rPr>
        <w:t>7</w:t>
      </w:r>
      <w:r w:rsidR="00565F5B" w:rsidRPr="00DB4BA7">
        <w:rPr>
          <w:rFonts w:asciiTheme="minorHAnsi" w:hAnsiTheme="minorHAnsi" w:cstheme="minorHAnsi"/>
          <w:i w:val="0"/>
          <w:color w:val="auto"/>
          <w:szCs w:val="22"/>
        </w:rPr>
        <w:t xml:space="preserve"> DEER Peak-Demand periods for 16 climate zones considered in this work paper.</w:t>
      </w:r>
    </w:p>
    <w:p w14:paraId="24977801" w14:textId="77777777" w:rsidR="00DB0223" w:rsidRPr="00DB4BA7" w:rsidRDefault="00DB0223" w:rsidP="00A555C8">
      <w:pPr>
        <w:pStyle w:val="Reminders"/>
        <w:rPr>
          <w:rFonts w:asciiTheme="minorHAnsi" w:hAnsiTheme="minorHAnsi" w:cstheme="minorHAnsi"/>
          <w:i w:val="0"/>
          <w:color w:val="auto"/>
          <w:szCs w:val="22"/>
        </w:rPr>
      </w:pPr>
    </w:p>
    <w:tbl>
      <w:tblPr>
        <w:tblStyle w:val="MediumList1"/>
        <w:tblW w:w="5416" w:type="pct"/>
        <w:jc w:val="right"/>
        <w:tblLook w:val="04A0" w:firstRow="1" w:lastRow="0" w:firstColumn="1" w:lastColumn="0" w:noHBand="0" w:noVBand="1"/>
      </w:tblPr>
      <w:tblGrid>
        <w:gridCol w:w="797"/>
        <w:gridCol w:w="9576"/>
      </w:tblGrid>
      <w:tr w:rsidR="00DB4BA7" w:rsidRPr="00DB4BA7" w14:paraId="01212500" w14:textId="77777777" w:rsidTr="00A72929">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14:paraId="696B8DD5" w14:textId="77777777" w:rsidR="00816B65" w:rsidRPr="00DB4BA7" w:rsidRDefault="00816B65" w:rsidP="00A72929">
            <w:pPr>
              <w:jc w:val="center"/>
              <w:rPr>
                <w:rFonts w:ascii="Calibri" w:hAnsi="Calibri" w:cs="Calibri"/>
                <w:color w:val="auto"/>
                <w:szCs w:val="22"/>
              </w:rPr>
            </w:pPr>
          </w:p>
        </w:tc>
        <w:tc>
          <w:tcPr>
            <w:tcW w:w="4616" w:type="pct"/>
            <w:tcBorders>
              <w:bottom w:val="nil"/>
            </w:tcBorders>
            <w:noWrap/>
            <w:hideMark/>
          </w:tcPr>
          <w:p w14:paraId="5E2D0B8E" w14:textId="38E88699" w:rsidR="00816B65" w:rsidRPr="00DB4BA7" w:rsidRDefault="00816B65" w:rsidP="00565F5B">
            <w:pP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Cs w:val="22"/>
              </w:rPr>
            </w:pPr>
            <w:r w:rsidRPr="00DB4BA7">
              <w:rPr>
                <w:rFonts w:ascii="Calibri" w:hAnsi="Calibri" w:cs="Calibri"/>
                <w:b/>
                <w:color w:val="auto"/>
                <w:szCs w:val="22"/>
              </w:rPr>
              <w:t>201</w:t>
            </w:r>
            <w:r w:rsidR="00565F5B" w:rsidRPr="00DB4BA7">
              <w:rPr>
                <w:rFonts w:ascii="Calibri" w:hAnsi="Calibri" w:cs="Calibri"/>
                <w:b/>
                <w:color w:val="auto"/>
                <w:szCs w:val="22"/>
              </w:rPr>
              <w:t>7</w:t>
            </w:r>
            <w:r w:rsidRPr="00DB4BA7">
              <w:rPr>
                <w:rFonts w:ascii="Calibri" w:hAnsi="Calibri" w:cs="Calibri"/>
                <w:b/>
                <w:color w:val="auto"/>
                <w:szCs w:val="22"/>
              </w:rPr>
              <w:t xml:space="preserve"> DEER Peak-Demand Periods</w:t>
            </w:r>
          </w:p>
        </w:tc>
      </w:tr>
    </w:tbl>
    <w:tbl>
      <w:tblPr>
        <w:tblStyle w:val="TableGrid1"/>
        <w:tblW w:w="3548" w:type="pct"/>
        <w:tblLook w:val="01E0" w:firstRow="1" w:lastRow="1" w:firstColumn="1" w:lastColumn="1" w:noHBand="0" w:noVBand="0"/>
      </w:tblPr>
      <w:tblGrid>
        <w:gridCol w:w="1955"/>
        <w:gridCol w:w="1614"/>
        <w:gridCol w:w="1614"/>
        <w:gridCol w:w="1612"/>
      </w:tblGrid>
      <w:tr w:rsidR="00DB4BA7" w:rsidRPr="00DB4BA7" w14:paraId="0AA6AA60" w14:textId="77777777" w:rsidTr="00A72929">
        <w:tc>
          <w:tcPr>
            <w:tcW w:w="1438" w:type="pct"/>
            <w:shd w:val="clear" w:color="auto" w:fill="D9D9D9" w:themeFill="background1" w:themeFillShade="D9"/>
          </w:tcPr>
          <w:p w14:paraId="6F951F61" w14:textId="77777777" w:rsidR="00816B65" w:rsidRPr="00DB4BA7" w:rsidRDefault="00816B65" w:rsidP="00A72929">
            <w:pPr>
              <w:jc w:val="center"/>
              <w:rPr>
                <w:rFonts w:cstheme="minorHAnsi"/>
                <w:b/>
                <w:szCs w:val="20"/>
              </w:rPr>
            </w:pPr>
            <w:r w:rsidRPr="00DB4BA7">
              <w:rPr>
                <w:rFonts w:cstheme="minorHAnsi"/>
                <w:b/>
                <w:szCs w:val="20"/>
              </w:rPr>
              <w:t>Climate Zone</w:t>
            </w:r>
          </w:p>
        </w:tc>
        <w:tc>
          <w:tcPr>
            <w:tcW w:w="1188" w:type="pct"/>
            <w:shd w:val="clear" w:color="auto" w:fill="D9D9D9" w:themeFill="background1" w:themeFillShade="D9"/>
          </w:tcPr>
          <w:p w14:paraId="46E1B6CA" w14:textId="77777777" w:rsidR="00816B65" w:rsidRPr="00DB4BA7" w:rsidRDefault="00816B65" w:rsidP="00A72929">
            <w:pPr>
              <w:jc w:val="center"/>
              <w:rPr>
                <w:rFonts w:cstheme="minorHAnsi"/>
                <w:b/>
                <w:szCs w:val="20"/>
              </w:rPr>
            </w:pPr>
            <w:r w:rsidRPr="00DB4BA7">
              <w:rPr>
                <w:rFonts w:cstheme="minorHAnsi"/>
                <w:b/>
                <w:szCs w:val="20"/>
              </w:rPr>
              <w:t>Dates</w:t>
            </w:r>
          </w:p>
        </w:tc>
        <w:tc>
          <w:tcPr>
            <w:tcW w:w="1188" w:type="pct"/>
            <w:shd w:val="clear" w:color="auto" w:fill="D9D9D9" w:themeFill="background1" w:themeFillShade="D9"/>
          </w:tcPr>
          <w:p w14:paraId="5C2E2DA3" w14:textId="77777777" w:rsidR="00816B65" w:rsidRPr="00DB4BA7" w:rsidRDefault="00816B65" w:rsidP="00A72929">
            <w:pPr>
              <w:jc w:val="center"/>
              <w:rPr>
                <w:rFonts w:cstheme="minorHAnsi"/>
                <w:b/>
                <w:szCs w:val="20"/>
              </w:rPr>
            </w:pPr>
            <w:r w:rsidRPr="00DB4BA7">
              <w:rPr>
                <w:rFonts w:cstheme="minorHAnsi"/>
                <w:b/>
                <w:szCs w:val="20"/>
              </w:rPr>
              <w:t>Climate Zone</w:t>
            </w:r>
          </w:p>
        </w:tc>
        <w:tc>
          <w:tcPr>
            <w:tcW w:w="1187" w:type="pct"/>
            <w:shd w:val="clear" w:color="auto" w:fill="D9D9D9" w:themeFill="background1" w:themeFillShade="D9"/>
          </w:tcPr>
          <w:p w14:paraId="7299A047" w14:textId="77777777" w:rsidR="00816B65" w:rsidRPr="00DB4BA7" w:rsidRDefault="00816B65" w:rsidP="00A72929">
            <w:pPr>
              <w:jc w:val="center"/>
              <w:rPr>
                <w:rFonts w:cstheme="minorHAnsi"/>
                <w:b/>
                <w:szCs w:val="20"/>
              </w:rPr>
            </w:pPr>
            <w:r w:rsidRPr="00DB4BA7">
              <w:rPr>
                <w:rFonts w:cstheme="minorHAnsi"/>
                <w:b/>
                <w:szCs w:val="20"/>
              </w:rPr>
              <w:t>Dates</w:t>
            </w:r>
          </w:p>
        </w:tc>
      </w:tr>
      <w:tr w:rsidR="00DB4BA7" w:rsidRPr="00DB4BA7" w14:paraId="76042171" w14:textId="77777777" w:rsidTr="00A72929">
        <w:tc>
          <w:tcPr>
            <w:tcW w:w="1438" w:type="pct"/>
          </w:tcPr>
          <w:p w14:paraId="36E2CB9D" w14:textId="77777777" w:rsidR="00816B65" w:rsidRPr="00DB4BA7" w:rsidRDefault="00816B65" w:rsidP="00A72929">
            <w:pPr>
              <w:jc w:val="center"/>
              <w:rPr>
                <w:rFonts w:cstheme="minorHAnsi"/>
                <w:szCs w:val="20"/>
              </w:rPr>
            </w:pPr>
            <w:r w:rsidRPr="00DB4BA7">
              <w:rPr>
                <w:rFonts w:cstheme="minorHAnsi"/>
                <w:szCs w:val="20"/>
              </w:rPr>
              <w:t>CZ01</w:t>
            </w:r>
          </w:p>
        </w:tc>
        <w:tc>
          <w:tcPr>
            <w:tcW w:w="1188" w:type="pct"/>
          </w:tcPr>
          <w:p w14:paraId="35AA1C5A" w14:textId="77777777" w:rsidR="00816B65" w:rsidRPr="00DB4BA7" w:rsidRDefault="00816B65" w:rsidP="00A72929">
            <w:pPr>
              <w:jc w:val="center"/>
              <w:rPr>
                <w:rFonts w:cstheme="minorHAnsi"/>
                <w:szCs w:val="20"/>
              </w:rPr>
            </w:pPr>
            <w:r w:rsidRPr="00DB4BA7">
              <w:rPr>
                <w:rFonts w:cstheme="minorHAnsi"/>
                <w:szCs w:val="20"/>
              </w:rPr>
              <w:t>Sep 16-18</w:t>
            </w:r>
          </w:p>
        </w:tc>
        <w:tc>
          <w:tcPr>
            <w:tcW w:w="1188" w:type="pct"/>
          </w:tcPr>
          <w:p w14:paraId="5A0E8C20" w14:textId="77777777" w:rsidR="00816B65" w:rsidRPr="00DB4BA7" w:rsidRDefault="00816B65" w:rsidP="00A72929">
            <w:pPr>
              <w:jc w:val="center"/>
              <w:rPr>
                <w:rFonts w:cstheme="minorHAnsi"/>
                <w:szCs w:val="20"/>
              </w:rPr>
            </w:pPr>
            <w:r w:rsidRPr="00DB4BA7">
              <w:rPr>
                <w:rFonts w:cstheme="minorHAnsi"/>
                <w:szCs w:val="20"/>
              </w:rPr>
              <w:t>CZ09</w:t>
            </w:r>
          </w:p>
        </w:tc>
        <w:tc>
          <w:tcPr>
            <w:tcW w:w="1187" w:type="pct"/>
          </w:tcPr>
          <w:p w14:paraId="7B2282E2" w14:textId="77777777" w:rsidR="00816B65" w:rsidRPr="00DB4BA7" w:rsidRDefault="00816B65" w:rsidP="00A72929">
            <w:pPr>
              <w:jc w:val="center"/>
              <w:rPr>
                <w:rFonts w:cstheme="minorHAnsi"/>
                <w:szCs w:val="20"/>
              </w:rPr>
            </w:pPr>
            <w:r w:rsidRPr="00DB4BA7">
              <w:rPr>
                <w:rFonts w:cstheme="minorHAnsi"/>
                <w:szCs w:val="20"/>
              </w:rPr>
              <w:t>Sep 1-3</w:t>
            </w:r>
          </w:p>
        </w:tc>
      </w:tr>
      <w:tr w:rsidR="00DB4BA7" w:rsidRPr="00DB4BA7" w14:paraId="7EACC75F" w14:textId="77777777" w:rsidTr="00A72929">
        <w:tc>
          <w:tcPr>
            <w:tcW w:w="1438" w:type="pct"/>
          </w:tcPr>
          <w:p w14:paraId="1783EA4F" w14:textId="77777777" w:rsidR="00816B65" w:rsidRPr="00DB4BA7" w:rsidRDefault="00816B65" w:rsidP="00A72929">
            <w:pPr>
              <w:jc w:val="center"/>
              <w:rPr>
                <w:rFonts w:cstheme="minorHAnsi"/>
                <w:szCs w:val="20"/>
              </w:rPr>
            </w:pPr>
            <w:r w:rsidRPr="00DB4BA7">
              <w:rPr>
                <w:rFonts w:cstheme="minorHAnsi"/>
                <w:szCs w:val="20"/>
              </w:rPr>
              <w:t>CZ02</w:t>
            </w:r>
          </w:p>
        </w:tc>
        <w:tc>
          <w:tcPr>
            <w:tcW w:w="1188" w:type="pct"/>
          </w:tcPr>
          <w:p w14:paraId="3AC08EB9" w14:textId="77777777" w:rsidR="00816B65" w:rsidRPr="00DB4BA7" w:rsidRDefault="00816B65" w:rsidP="00A72929">
            <w:pPr>
              <w:jc w:val="center"/>
              <w:rPr>
                <w:rFonts w:cstheme="minorHAnsi"/>
                <w:szCs w:val="20"/>
              </w:rPr>
            </w:pPr>
            <w:r w:rsidRPr="00DB4BA7">
              <w:rPr>
                <w:rFonts w:cstheme="minorHAnsi"/>
                <w:szCs w:val="20"/>
              </w:rPr>
              <w:t>Jul 8-10</w:t>
            </w:r>
          </w:p>
        </w:tc>
        <w:tc>
          <w:tcPr>
            <w:tcW w:w="1188" w:type="pct"/>
          </w:tcPr>
          <w:p w14:paraId="083027A0" w14:textId="77777777" w:rsidR="00816B65" w:rsidRPr="00DB4BA7" w:rsidRDefault="00816B65" w:rsidP="00A72929">
            <w:pPr>
              <w:jc w:val="center"/>
              <w:rPr>
                <w:rFonts w:cstheme="minorHAnsi"/>
                <w:szCs w:val="20"/>
              </w:rPr>
            </w:pPr>
            <w:r w:rsidRPr="00DB4BA7">
              <w:rPr>
                <w:rFonts w:cstheme="minorHAnsi"/>
                <w:szCs w:val="20"/>
              </w:rPr>
              <w:t>CZ10</w:t>
            </w:r>
          </w:p>
        </w:tc>
        <w:tc>
          <w:tcPr>
            <w:tcW w:w="1187" w:type="pct"/>
          </w:tcPr>
          <w:p w14:paraId="3A6CE57D" w14:textId="77777777" w:rsidR="00816B65" w:rsidRPr="00DB4BA7" w:rsidRDefault="00816B65" w:rsidP="00A72929">
            <w:pPr>
              <w:jc w:val="center"/>
              <w:rPr>
                <w:rFonts w:cstheme="minorHAnsi"/>
                <w:szCs w:val="20"/>
              </w:rPr>
            </w:pPr>
            <w:r w:rsidRPr="00DB4BA7">
              <w:rPr>
                <w:rFonts w:cstheme="minorHAnsi"/>
                <w:szCs w:val="20"/>
              </w:rPr>
              <w:t>Sep 1-3</w:t>
            </w:r>
          </w:p>
        </w:tc>
      </w:tr>
      <w:tr w:rsidR="00DB4BA7" w:rsidRPr="00DB4BA7" w14:paraId="45B0BA0E" w14:textId="77777777" w:rsidTr="00A72929">
        <w:tc>
          <w:tcPr>
            <w:tcW w:w="1438" w:type="pct"/>
          </w:tcPr>
          <w:p w14:paraId="456974FB" w14:textId="77777777" w:rsidR="00816B65" w:rsidRPr="00DB4BA7" w:rsidRDefault="00816B65" w:rsidP="00A72929">
            <w:pPr>
              <w:jc w:val="center"/>
              <w:rPr>
                <w:rFonts w:cstheme="minorHAnsi"/>
                <w:szCs w:val="20"/>
              </w:rPr>
            </w:pPr>
            <w:r w:rsidRPr="00DB4BA7">
              <w:rPr>
                <w:rFonts w:cstheme="minorHAnsi"/>
                <w:szCs w:val="20"/>
              </w:rPr>
              <w:t>CZ03</w:t>
            </w:r>
          </w:p>
        </w:tc>
        <w:tc>
          <w:tcPr>
            <w:tcW w:w="1188" w:type="pct"/>
          </w:tcPr>
          <w:p w14:paraId="79B9A98E" w14:textId="77777777" w:rsidR="00816B65" w:rsidRPr="00DB4BA7" w:rsidRDefault="00816B65" w:rsidP="00A72929">
            <w:pPr>
              <w:jc w:val="center"/>
              <w:rPr>
                <w:rFonts w:cstheme="minorHAnsi"/>
                <w:szCs w:val="20"/>
              </w:rPr>
            </w:pPr>
            <w:r w:rsidRPr="00DB4BA7">
              <w:rPr>
                <w:rFonts w:cstheme="minorHAnsi"/>
                <w:szCs w:val="20"/>
              </w:rPr>
              <w:t>Jul 8-10</w:t>
            </w:r>
          </w:p>
        </w:tc>
        <w:tc>
          <w:tcPr>
            <w:tcW w:w="1188" w:type="pct"/>
          </w:tcPr>
          <w:p w14:paraId="62AAADC3" w14:textId="77777777" w:rsidR="00816B65" w:rsidRPr="00DB4BA7" w:rsidRDefault="00816B65" w:rsidP="00A72929">
            <w:pPr>
              <w:jc w:val="center"/>
              <w:rPr>
                <w:rFonts w:cstheme="minorHAnsi"/>
                <w:szCs w:val="20"/>
              </w:rPr>
            </w:pPr>
            <w:r w:rsidRPr="00DB4BA7">
              <w:rPr>
                <w:rFonts w:cstheme="minorHAnsi"/>
                <w:szCs w:val="20"/>
              </w:rPr>
              <w:t>CZ11</w:t>
            </w:r>
          </w:p>
        </w:tc>
        <w:tc>
          <w:tcPr>
            <w:tcW w:w="1187" w:type="pct"/>
          </w:tcPr>
          <w:p w14:paraId="48D8F160" w14:textId="77777777" w:rsidR="00816B65" w:rsidRPr="00DB4BA7" w:rsidRDefault="00816B65" w:rsidP="00A72929">
            <w:pPr>
              <w:jc w:val="center"/>
              <w:rPr>
                <w:rFonts w:cstheme="minorHAnsi"/>
                <w:szCs w:val="20"/>
              </w:rPr>
            </w:pPr>
            <w:r w:rsidRPr="00DB4BA7">
              <w:rPr>
                <w:rFonts w:cstheme="minorHAnsi"/>
                <w:szCs w:val="20"/>
              </w:rPr>
              <w:t>Jul 8-10</w:t>
            </w:r>
          </w:p>
        </w:tc>
      </w:tr>
      <w:tr w:rsidR="00DB4BA7" w:rsidRPr="00DB4BA7" w14:paraId="2C0E7821" w14:textId="77777777" w:rsidTr="00A72929">
        <w:tc>
          <w:tcPr>
            <w:tcW w:w="1438" w:type="pct"/>
          </w:tcPr>
          <w:p w14:paraId="27DE7E2F" w14:textId="77777777" w:rsidR="00816B65" w:rsidRPr="00DB4BA7" w:rsidRDefault="00816B65" w:rsidP="00A72929">
            <w:pPr>
              <w:jc w:val="center"/>
              <w:rPr>
                <w:rFonts w:cstheme="minorHAnsi"/>
                <w:szCs w:val="20"/>
              </w:rPr>
            </w:pPr>
            <w:r w:rsidRPr="00DB4BA7">
              <w:rPr>
                <w:rFonts w:cstheme="minorHAnsi"/>
                <w:szCs w:val="20"/>
              </w:rPr>
              <w:t>CZ04</w:t>
            </w:r>
          </w:p>
        </w:tc>
        <w:tc>
          <w:tcPr>
            <w:tcW w:w="1188" w:type="pct"/>
          </w:tcPr>
          <w:p w14:paraId="1D9B9569" w14:textId="77777777" w:rsidR="00816B65" w:rsidRPr="00DB4BA7" w:rsidRDefault="00816B65" w:rsidP="00A72929">
            <w:pPr>
              <w:jc w:val="center"/>
              <w:rPr>
                <w:rFonts w:cstheme="minorHAnsi"/>
                <w:szCs w:val="20"/>
              </w:rPr>
            </w:pPr>
            <w:r w:rsidRPr="00DB4BA7">
              <w:rPr>
                <w:rFonts w:cstheme="minorHAnsi"/>
                <w:szCs w:val="20"/>
              </w:rPr>
              <w:t>Sep 1-3</w:t>
            </w:r>
          </w:p>
        </w:tc>
        <w:tc>
          <w:tcPr>
            <w:tcW w:w="1188" w:type="pct"/>
          </w:tcPr>
          <w:p w14:paraId="74BFA9CB" w14:textId="77777777" w:rsidR="00816B65" w:rsidRPr="00DB4BA7" w:rsidRDefault="00816B65" w:rsidP="00A72929">
            <w:pPr>
              <w:jc w:val="center"/>
              <w:rPr>
                <w:rFonts w:cstheme="minorHAnsi"/>
                <w:szCs w:val="20"/>
              </w:rPr>
            </w:pPr>
            <w:r w:rsidRPr="00DB4BA7">
              <w:rPr>
                <w:rFonts w:cstheme="minorHAnsi"/>
                <w:szCs w:val="20"/>
              </w:rPr>
              <w:t>CZ12</w:t>
            </w:r>
          </w:p>
        </w:tc>
        <w:tc>
          <w:tcPr>
            <w:tcW w:w="1187" w:type="pct"/>
          </w:tcPr>
          <w:p w14:paraId="77E1C9FA" w14:textId="77777777" w:rsidR="00816B65" w:rsidRPr="00DB4BA7" w:rsidRDefault="00816B65" w:rsidP="00A72929">
            <w:pPr>
              <w:jc w:val="center"/>
              <w:rPr>
                <w:rFonts w:cstheme="minorHAnsi"/>
                <w:szCs w:val="20"/>
              </w:rPr>
            </w:pPr>
            <w:r w:rsidRPr="00DB4BA7">
              <w:rPr>
                <w:rFonts w:cstheme="minorHAnsi"/>
                <w:szCs w:val="20"/>
              </w:rPr>
              <w:t>Jul 8-10</w:t>
            </w:r>
          </w:p>
        </w:tc>
      </w:tr>
      <w:tr w:rsidR="00DB4BA7" w:rsidRPr="00DB4BA7" w14:paraId="6DC86ECA" w14:textId="77777777" w:rsidTr="00A72929">
        <w:tc>
          <w:tcPr>
            <w:tcW w:w="1438" w:type="pct"/>
          </w:tcPr>
          <w:p w14:paraId="42234AA7" w14:textId="77777777" w:rsidR="00816B65" w:rsidRPr="00DB4BA7" w:rsidRDefault="00816B65" w:rsidP="00A72929">
            <w:pPr>
              <w:jc w:val="center"/>
              <w:rPr>
                <w:rFonts w:cstheme="minorHAnsi"/>
                <w:szCs w:val="20"/>
              </w:rPr>
            </w:pPr>
            <w:r w:rsidRPr="00DB4BA7">
              <w:rPr>
                <w:rFonts w:cstheme="minorHAnsi"/>
                <w:szCs w:val="20"/>
              </w:rPr>
              <w:t>CZ05</w:t>
            </w:r>
          </w:p>
        </w:tc>
        <w:tc>
          <w:tcPr>
            <w:tcW w:w="1188" w:type="pct"/>
          </w:tcPr>
          <w:p w14:paraId="5EF3B924" w14:textId="77777777" w:rsidR="00816B65" w:rsidRPr="00DB4BA7" w:rsidRDefault="00816B65" w:rsidP="00A72929">
            <w:pPr>
              <w:jc w:val="center"/>
              <w:rPr>
                <w:rFonts w:cstheme="minorHAnsi"/>
                <w:szCs w:val="20"/>
              </w:rPr>
            </w:pPr>
            <w:r w:rsidRPr="00DB4BA7">
              <w:rPr>
                <w:rFonts w:cstheme="minorHAnsi"/>
                <w:szCs w:val="20"/>
              </w:rPr>
              <w:t>Sep 8-10</w:t>
            </w:r>
          </w:p>
        </w:tc>
        <w:tc>
          <w:tcPr>
            <w:tcW w:w="1188" w:type="pct"/>
          </w:tcPr>
          <w:p w14:paraId="47127710" w14:textId="77777777" w:rsidR="00816B65" w:rsidRPr="00DB4BA7" w:rsidRDefault="00816B65" w:rsidP="00A72929">
            <w:pPr>
              <w:jc w:val="center"/>
              <w:rPr>
                <w:rFonts w:cstheme="minorHAnsi"/>
                <w:szCs w:val="20"/>
              </w:rPr>
            </w:pPr>
            <w:r w:rsidRPr="00DB4BA7">
              <w:rPr>
                <w:rFonts w:cstheme="minorHAnsi"/>
                <w:szCs w:val="20"/>
              </w:rPr>
              <w:t>CZ13</w:t>
            </w:r>
          </w:p>
        </w:tc>
        <w:tc>
          <w:tcPr>
            <w:tcW w:w="1187" w:type="pct"/>
          </w:tcPr>
          <w:p w14:paraId="2A6E8A9D" w14:textId="77777777" w:rsidR="00816B65" w:rsidRPr="00DB4BA7" w:rsidRDefault="00816B65" w:rsidP="00A72929">
            <w:pPr>
              <w:jc w:val="center"/>
              <w:rPr>
                <w:rFonts w:cstheme="minorHAnsi"/>
                <w:szCs w:val="20"/>
              </w:rPr>
            </w:pPr>
            <w:r w:rsidRPr="00DB4BA7">
              <w:rPr>
                <w:rFonts w:cstheme="minorHAnsi"/>
                <w:szCs w:val="20"/>
              </w:rPr>
              <w:t>Jul 8-10</w:t>
            </w:r>
          </w:p>
        </w:tc>
      </w:tr>
      <w:tr w:rsidR="00DB4BA7" w:rsidRPr="00DB4BA7" w14:paraId="4FE433DC" w14:textId="77777777" w:rsidTr="00A72929">
        <w:tc>
          <w:tcPr>
            <w:tcW w:w="1438" w:type="pct"/>
          </w:tcPr>
          <w:p w14:paraId="3D4F3FB5" w14:textId="77777777" w:rsidR="00816B65" w:rsidRPr="00DB4BA7" w:rsidRDefault="00816B65" w:rsidP="00A72929">
            <w:pPr>
              <w:jc w:val="center"/>
              <w:rPr>
                <w:rFonts w:cstheme="minorHAnsi"/>
                <w:szCs w:val="20"/>
              </w:rPr>
            </w:pPr>
            <w:r w:rsidRPr="00DB4BA7">
              <w:rPr>
                <w:rFonts w:cstheme="minorHAnsi"/>
                <w:szCs w:val="20"/>
              </w:rPr>
              <w:t>CZ06</w:t>
            </w:r>
          </w:p>
        </w:tc>
        <w:tc>
          <w:tcPr>
            <w:tcW w:w="1188" w:type="pct"/>
          </w:tcPr>
          <w:p w14:paraId="244BD434" w14:textId="77777777" w:rsidR="00816B65" w:rsidRPr="00DB4BA7" w:rsidRDefault="00816B65" w:rsidP="00A72929">
            <w:pPr>
              <w:jc w:val="center"/>
              <w:rPr>
                <w:rFonts w:cstheme="minorHAnsi"/>
                <w:szCs w:val="20"/>
              </w:rPr>
            </w:pPr>
            <w:r w:rsidRPr="00DB4BA7">
              <w:rPr>
                <w:rFonts w:cstheme="minorHAnsi"/>
                <w:szCs w:val="20"/>
              </w:rPr>
              <w:t>Sep 1-3</w:t>
            </w:r>
          </w:p>
        </w:tc>
        <w:tc>
          <w:tcPr>
            <w:tcW w:w="1188" w:type="pct"/>
          </w:tcPr>
          <w:p w14:paraId="0C189361" w14:textId="77777777" w:rsidR="00816B65" w:rsidRPr="00DB4BA7" w:rsidRDefault="00816B65" w:rsidP="00A72929">
            <w:pPr>
              <w:jc w:val="center"/>
              <w:rPr>
                <w:rFonts w:cstheme="minorHAnsi"/>
                <w:szCs w:val="20"/>
              </w:rPr>
            </w:pPr>
            <w:r w:rsidRPr="00DB4BA7">
              <w:rPr>
                <w:rFonts w:cstheme="minorHAnsi"/>
                <w:szCs w:val="20"/>
              </w:rPr>
              <w:t>CZ14</w:t>
            </w:r>
          </w:p>
        </w:tc>
        <w:tc>
          <w:tcPr>
            <w:tcW w:w="1187" w:type="pct"/>
          </w:tcPr>
          <w:p w14:paraId="25DAA477" w14:textId="77777777" w:rsidR="00816B65" w:rsidRPr="00DB4BA7" w:rsidRDefault="00816B65" w:rsidP="00A72929">
            <w:pPr>
              <w:jc w:val="center"/>
              <w:rPr>
                <w:rFonts w:cstheme="minorHAnsi"/>
                <w:szCs w:val="20"/>
              </w:rPr>
            </w:pPr>
            <w:r w:rsidRPr="00DB4BA7">
              <w:rPr>
                <w:rFonts w:cstheme="minorHAnsi"/>
                <w:szCs w:val="20"/>
              </w:rPr>
              <w:t>Aug 26-28</w:t>
            </w:r>
          </w:p>
        </w:tc>
      </w:tr>
      <w:tr w:rsidR="00DB4BA7" w:rsidRPr="00DB4BA7" w14:paraId="35CD72C6" w14:textId="77777777" w:rsidTr="00A72929">
        <w:tc>
          <w:tcPr>
            <w:tcW w:w="1438" w:type="pct"/>
          </w:tcPr>
          <w:p w14:paraId="00A65578" w14:textId="77777777" w:rsidR="00816B65" w:rsidRPr="00DB4BA7" w:rsidRDefault="00816B65" w:rsidP="00A72929">
            <w:pPr>
              <w:jc w:val="center"/>
              <w:rPr>
                <w:rFonts w:cstheme="minorHAnsi"/>
                <w:szCs w:val="20"/>
              </w:rPr>
            </w:pPr>
            <w:r w:rsidRPr="00DB4BA7">
              <w:rPr>
                <w:rFonts w:cstheme="minorHAnsi"/>
                <w:szCs w:val="20"/>
              </w:rPr>
              <w:t>CZ07</w:t>
            </w:r>
          </w:p>
        </w:tc>
        <w:tc>
          <w:tcPr>
            <w:tcW w:w="1188" w:type="pct"/>
          </w:tcPr>
          <w:p w14:paraId="08298835" w14:textId="77777777" w:rsidR="00816B65" w:rsidRPr="00DB4BA7" w:rsidRDefault="00816B65" w:rsidP="00A72929">
            <w:pPr>
              <w:jc w:val="center"/>
              <w:rPr>
                <w:rFonts w:cstheme="minorHAnsi"/>
                <w:szCs w:val="20"/>
              </w:rPr>
            </w:pPr>
            <w:r w:rsidRPr="00DB4BA7">
              <w:rPr>
                <w:rFonts w:cstheme="minorHAnsi"/>
                <w:szCs w:val="20"/>
              </w:rPr>
              <w:t>Sep 1-3</w:t>
            </w:r>
          </w:p>
        </w:tc>
        <w:tc>
          <w:tcPr>
            <w:tcW w:w="1188" w:type="pct"/>
          </w:tcPr>
          <w:p w14:paraId="3C5B01CB" w14:textId="77777777" w:rsidR="00816B65" w:rsidRPr="00DB4BA7" w:rsidRDefault="00816B65" w:rsidP="00A72929">
            <w:pPr>
              <w:jc w:val="center"/>
              <w:rPr>
                <w:rFonts w:cstheme="minorHAnsi"/>
                <w:szCs w:val="20"/>
              </w:rPr>
            </w:pPr>
            <w:r w:rsidRPr="00DB4BA7">
              <w:rPr>
                <w:rFonts w:cstheme="minorHAnsi"/>
                <w:szCs w:val="20"/>
              </w:rPr>
              <w:t>CZ15</w:t>
            </w:r>
          </w:p>
        </w:tc>
        <w:tc>
          <w:tcPr>
            <w:tcW w:w="1187" w:type="pct"/>
          </w:tcPr>
          <w:p w14:paraId="0A6091FE" w14:textId="77777777" w:rsidR="00816B65" w:rsidRPr="00DB4BA7" w:rsidRDefault="00816B65" w:rsidP="00A72929">
            <w:pPr>
              <w:jc w:val="center"/>
              <w:rPr>
                <w:rFonts w:cstheme="minorHAnsi"/>
                <w:szCs w:val="20"/>
              </w:rPr>
            </w:pPr>
            <w:r w:rsidRPr="00DB4BA7">
              <w:rPr>
                <w:rFonts w:cstheme="minorHAnsi"/>
                <w:szCs w:val="20"/>
              </w:rPr>
              <w:t>Aug 25-27</w:t>
            </w:r>
          </w:p>
        </w:tc>
      </w:tr>
      <w:tr w:rsidR="00DB4BA7" w:rsidRPr="00DB4BA7" w14:paraId="10A3653B" w14:textId="77777777" w:rsidTr="00A72929">
        <w:tc>
          <w:tcPr>
            <w:tcW w:w="1438" w:type="pct"/>
          </w:tcPr>
          <w:p w14:paraId="25B8E3EF" w14:textId="77777777" w:rsidR="00816B65" w:rsidRPr="00DB4BA7" w:rsidRDefault="00816B65" w:rsidP="00A72929">
            <w:pPr>
              <w:jc w:val="center"/>
              <w:rPr>
                <w:rFonts w:cstheme="minorHAnsi"/>
                <w:szCs w:val="20"/>
              </w:rPr>
            </w:pPr>
            <w:r w:rsidRPr="00DB4BA7">
              <w:rPr>
                <w:rFonts w:cstheme="minorHAnsi"/>
                <w:szCs w:val="20"/>
              </w:rPr>
              <w:t>CZ08</w:t>
            </w:r>
          </w:p>
        </w:tc>
        <w:tc>
          <w:tcPr>
            <w:tcW w:w="1188" w:type="pct"/>
          </w:tcPr>
          <w:p w14:paraId="410CFEAC" w14:textId="77777777" w:rsidR="00816B65" w:rsidRPr="00DB4BA7" w:rsidRDefault="00816B65" w:rsidP="00A72929">
            <w:pPr>
              <w:jc w:val="center"/>
              <w:rPr>
                <w:rFonts w:cstheme="minorHAnsi"/>
                <w:szCs w:val="20"/>
              </w:rPr>
            </w:pPr>
            <w:r w:rsidRPr="00DB4BA7">
              <w:rPr>
                <w:rFonts w:cstheme="minorHAnsi"/>
                <w:szCs w:val="20"/>
              </w:rPr>
              <w:t>Sep 1-3</w:t>
            </w:r>
          </w:p>
        </w:tc>
        <w:tc>
          <w:tcPr>
            <w:tcW w:w="1188" w:type="pct"/>
          </w:tcPr>
          <w:p w14:paraId="2A92E4D4" w14:textId="77777777" w:rsidR="00816B65" w:rsidRPr="00DB4BA7" w:rsidRDefault="00816B65" w:rsidP="00A72929">
            <w:pPr>
              <w:jc w:val="center"/>
              <w:rPr>
                <w:rFonts w:cstheme="minorHAnsi"/>
                <w:szCs w:val="20"/>
              </w:rPr>
            </w:pPr>
            <w:r w:rsidRPr="00DB4BA7">
              <w:rPr>
                <w:rFonts w:cstheme="minorHAnsi"/>
                <w:szCs w:val="20"/>
              </w:rPr>
              <w:t>CZ16</w:t>
            </w:r>
          </w:p>
        </w:tc>
        <w:tc>
          <w:tcPr>
            <w:tcW w:w="1187" w:type="pct"/>
          </w:tcPr>
          <w:p w14:paraId="60615269" w14:textId="77777777" w:rsidR="00816B65" w:rsidRPr="00DB4BA7" w:rsidRDefault="00816B65" w:rsidP="00A72929">
            <w:pPr>
              <w:jc w:val="center"/>
              <w:rPr>
                <w:rFonts w:cstheme="minorHAnsi"/>
                <w:szCs w:val="20"/>
              </w:rPr>
            </w:pPr>
            <w:r w:rsidRPr="00DB4BA7">
              <w:rPr>
                <w:rFonts w:cstheme="minorHAnsi"/>
                <w:szCs w:val="20"/>
              </w:rPr>
              <w:t>Jul 8-10</w:t>
            </w:r>
          </w:p>
        </w:tc>
      </w:tr>
    </w:tbl>
    <w:p w14:paraId="3A47A401" w14:textId="77777777" w:rsidR="00816B65" w:rsidRDefault="00816B65" w:rsidP="00A555C8">
      <w:pPr>
        <w:pStyle w:val="Reminders"/>
        <w:rPr>
          <w:rFonts w:asciiTheme="minorHAnsi" w:hAnsiTheme="minorHAnsi" w:cstheme="minorHAnsi"/>
          <w:i w:val="0"/>
          <w:color w:val="auto"/>
          <w:szCs w:val="22"/>
        </w:rPr>
      </w:pPr>
    </w:p>
    <w:p w14:paraId="40B35222" w14:textId="01952364" w:rsidR="00A555C8" w:rsidRDefault="00A555C8" w:rsidP="00A555C8">
      <w:pPr>
        <w:pStyle w:val="Reminders"/>
        <w:rPr>
          <w:rFonts w:asciiTheme="minorHAnsi" w:hAnsiTheme="minorHAnsi" w:cstheme="minorHAnsi"/>
          <w:i w:val="0"/>
          <w:color w:val="auto"/>
          <w:szCs w:val="22"/>
        </w:rPr>
      </w:pPr>
      <w:r w:rsidRPr="0004002D">
        <w:rPr>
          <w:rFonts w:asciiTheme="minorHAnsi" w:hAnsiTheme="minorHAnsi" w:cstheme="minorHAnsi"/>
          <w:i w:val="0"/>
          <w:color w:val="auto"/>
          <w:szCs w:val="22"/>
        </w:rPr>
        <w:t xml:space="preserve">A complete list of savings </w:t>
      </w:r>
      <w:r w:rsidR="00C30E92">
        <w:rPr>
          <w:rFonts w:asciiTheme="minorHAnsi" w:hAnsiTheme="minorHAnsi" w:cstheme="minorHAnsi"/>
          <w:i w:val="0"/>
          <w:color w:val="auto"/>
          <w:szCs w:val="22"/>
        </w:rPr>
        <w:t>can be found within</w:t>
      </w:r>
      <w:r w:rsidRPr="0004002D">
        <w:rPr>
          <w:rFonts w:asciiTheme="minorHAnsi" w:hAnsiTheme="minorHAnsi" w:cstheme="minorHAnsi"/>
          <w:i w:val="0"/>
          <w:color w:val="auto"/>
          <w:szCs w:val="22"/>
        </w:rPr>
        <w:t xml:space="preserve"> Attachment</w:t>
      </w:r>
      <w:r w:rsidR="00C30E92">
        <w:rPr>
          <w:rFonts w:asciiTheme="minorHAnsi" w:hAnsiTheme="minorHAnsi" w:cstheme="minorHAnsi"/>
          <w:i w:val="0"/>
          <w:color w:val="auto"/>
          <w:szCs w:val="22"/>
        </w:rPr>
        <w:t xml:space="preserve"> 1</w:t>
      </w:r>
      <w:r w:rsidRPr="0004002D">
        <w:rPr>
          <w:rFonts w:asciiTheme="minorHAnsi" w:hAnsiTheme="minorHAnsi" w:cstheme="minorHAnsi"/>
          <w:i w:val="0"/>
          <w:color w:val="auto"/>
          <w:szCs w:val="22"/>
        </w:rPr>
        <w:t>.</w:t>
      </w:r>
    </w:p>
    <w:p w14:paraId="3A62BD8A" w14:textId="3E383FED" w:rsidR="00A555C8" w:rsidRPr="00EA3E00" w:rsidRDefault="00C30E92" w:rsidP="00A555C8">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 xml:space="preserve"> </w:t>
      </w:r>
    </w:p>
    <w:p w14:paraId="790E3324" w14:textId="30BE33C8" w:rsidR="00A555C8" w:rsidRDefault="00163269" w:rsidP="00A555C8">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676C70">
        <w:rPr>
          <w:rFonts w:asciiTheme="minorHAnsi" w:hAnsiTheme="minorHAnsi" w:cstheme="minorHAnsi"/>
          <w:i w:val="0"/>
          <w:color w:val="auto"/>
          <w:szCs w:val="22"/>
        </w:rPr>
        <w:t>t</w:t>
      </w:r>
      <w:r>
        <w:rPr>
          <w:rFonts w:asciiTheme="minorHAnsi" w:hAnsiTheme="minorHAnsi" w:cstheme="minorHAnsi"/>
          <w:i w:val="0"/>
          <w:color w:val="auto"/>
          <w:szCs w:val="22"/>
        </w:rPr>
        <w:t>able below</w:t>
      </w:r>
      <w:r w:rsidR="00A555C8" w:rsidRPr="00EA3E00">
        <w:rPr>
          <w:rFonts w:asciiTheme="minorHAnsi" w:hAnsiTheme="minorHAnsi" w:cstheme="minorHAnsi"/>
          <w:i w:val="0"/>
          <w:color w:val="auto"/>
          <w:szCs w:val="22"/>
        </w:rPr>
        <w:t xml:space="preserve"> shows sample </w:t>
      </w:r>
      <w:r w:rsidR="00A555C8">
        <w:rPr>
          <w:rFonts w:asciiTheme="minorHAnsi" w:hAnsiTheme="minorHAnsi" w:cstheme="minorHAnsi"/>
          <w:i w:val="0"/>
          <w:color w:val="auto"/>
          <w:szCs w:val="22"/>
        </w:rPr>
        <w:t xml:space="preserve">cooler </w:t>
      </w:r>
      <w:r w:rsidR="00A555C8" w:rsidRPr="00EA3E00">
        <w:rPr>
          <w:rFonts w:asciiTheme="minorHAnsi" w:hAnsiTheme="minorHAnsi" w:cstheme="minorHAnsi"/>
          <w:i w:val="0"/>
          <w:color w:val="auto"/>
          <w:szCs w:val="22"/>
        </w:rPr>
        <w:t>energy and demand savings for this work paper.</w:t>
      </w:r>
    </w:p>
    <w:p w14:paraId="30CCEE61" w14:textId="77777777" w:rsidR="00A555C8" w:rsidRPr="00D670BE" w:rsidRDefault="00A555C8" w:rsidP="00A555C8">
      <w:pPr>
        <w:pStyle w:val="Reminders"/>
        <w:spacing w:before="0" w:after="0"/>
        <w:rPr>
          <w:rFonts w:asciiTheme="minorHAnsi" w:hAnsiTheme="minorHAnsi" w:cstheme="minorHAnsi"/>
          <w:i w:val="0"/>
          <w:color w:val="auto"/>
          <w:szCs w:val="22"/>
        </w:rPr>
      </w:pPr>
    </w:p>
    <w:p w14:paraId="40E1D448" w14:textId="76619F1F" w:rsidR="00A555C8" w:rsidRDefault="00A555C8" w:rsidP="00DA5082">
      <w:pPr>
        <w:pStyle w:val="Caption"/>
        <w:rPr>
          <w:rFonts w:cstheme="minorHAnsi"/>
          <w:b w:val="0"/>
          <w:bCs w:val="0"/>
          <w:i/>
          <w:szCs w:val="22"/>
        </w:rPr>
      </w:pPr>
      <w:r w:rsidRPr="00EA3E00">
        <w:rPr>
          <w:rFonts w:cstheme="minorHAnsi"/>
          <w:szCs w:val="22"/>
        </w:rPr>
        <w:t>Energy and Demand Savings</w:t>
      </w:r>
    </w:p>
    <w:tbl>
      <w:tblPr>
        <w:tblStyle w:val="TableGrid1"/>
        <w:tblW w:w="9483" w:type="dxa"/>
        <w:tblLook w:val="04A0" w:firstRow="1" w:lastRow="0" w:firstColumn="1" w:lastColumn="0" w:noHBand="0" w:noVBand="1"/>
      </w:tblPr>
      <w:tblGrid>
        <w:gridCol w:w="2418"/>
        <w:gridCol w:w="893"/>
        <w:gridCol w:w="852"/>
        <w:gridCol w:w="1142"/>
        <w:gridCol w:w="1530"/>
        <w:gridCol w:w="1170"/>
        <w:gridCol w:w="1478"/>
      </w:tblGrid>
      <w:tr w:rsidR="00A555C8" w:rsidRPr="00473D35" w14:paraId="17F7B6F2" w14:textId="77777777" w:rsidTr="00F70B5D">
        <w:trPr>
          <w:trHeight w:val="1050"/>
        </w:trPr>
        <w:tc>
          <w:tcPr>
            <w:tcW w:w="2418" w:type="dxa"/>
            <w:shd w:val="clear" w:color="auto" w:fill="D9D9D9" w:themeFill="background1" w:themeFillShade="D9"/>
            <w:hideMark/>
          </w:tcPr>
          <w:p w14:paraId="3299AE37" w14:textId="77777777" w:rsidR="00A555C8" w:rsidRPr="00473D35" w:rsidRDefault="00A555C8" w:rsidP="00F70B5D">
            <w:pPr>
              <w:rPr>
                <w:rFonts w:ascii="Calibri" w:hAnsi="Calibri"/>
                <w:b/>
                <w:bCs/>
                <w:szCs w:val="20"/>
              </w:rPr>
            </w:pPr>
            <w:r w:rsidRPr="00473D35">
              <w:rPr>
                <w:rFonts w:ascii="Calibri" w:hAnsi="Calibri"/>
                <w:b/>
                <w:bCs/>
                <w:szCs w:val="20"/>
              </w:rPr>
              <w:lastRenderedPageBreak/>
              <w:t>Measure Name</w:t>
            </w:r>
          </w:p>
        </w:tc>
        <w:tc>
          <w:tcPr>
            <w:tcW w:w="893" w:type="dxa"/>
            <w:shd w:val="clear" w:color="auto" w:fill="D9D9D9" w:themeFill="background1" w:themeFillShade="D9"/>
            <w:hideMark/>
          </w:tcPr>
          <w:p w14:paraId="4CBD4893" w14:textId="77777777" w:rsidR="00A555C8" w:rsidRPr="00473D35" w:rsidRDefault="00A555C8" w:rsidP="00F70B5D">
            <w:pPr>
              <w:rPr>
                <w:rFonts w:ascii="Calibri" w:hAnsi="Calibri"/>
                <w:b/>
                <w:bCs/>
                <w:szCs w:val="20"/>
              </w:rPr>
            </w:pPr>
            <w:r w:rsidRPr="00473D35">
              <w:rPr>
                <w:rFonts w:ascii="Calibri" w:hAnsi="Calibri"/>
                <w:b/>
                <w:bCs/>
                <w:szCs w:val="20"/>
              </w:rPr>
              <w:t>Building Type</w:t>
            </w:r>
          </w:p>
        </w:tc>
        <w:tc>
          <w:tcPr>
            <w:tcW w:w="852" w:type="dxa"/>
            <w:shd w:val="clear" w:color="auto" w:fill="D9D9D9" w:themeFill="background1" w:themeFillShade="D9"/>
            <w:hideMark/>
          </w:tcPr>
          <w:p w14:paraId="14960C04" w14:textId="77777777" w:rsidR="00A555C8" w:rsidRPr="00473D35" w:rsidRDefault="00A555C8" w:rsidP="00F70B5D">
            <w:pPr>
              <w:rPr>
                <w:rFonts w:ascii="Calibri" w:hAnsi="Calibri"/>
                <w:b/>
                <w:bCs/>
                <w:szCs w:val="20"/>
              </w:rPr>
            </w:pPr>
            <w:r w:rsidRPr="00473D35">
              <w:rPr>
                <w:rFonts w:ascii="Calibri" w:hAnsi="Calibri"/>
                <w:b/>
                <w:bCs/>
                <w:szCs w:val="20"/>
              </w:rPr>
              <w:t>Climate Zone</w:t>
            </w:r>
          </w:p>
        </w:tc>
        <w:tc>
          <w:tcPr>
            <w:tcW w:w="1142" w:type="dxa"/>
            <w:shd w:val="clear" w:color="auto" w:fill="D9D9D9" w:themeFill="background1" w:themeFillShade="D9"/>
            <w:hideMark/>
          </w:tcPr>
          <w:p w14:paraId="5B57BC69" w14:textId="2C30D594" w:rsidR="00A555C8" w:rsidRPr="00473D35" w:rsidRDefault="00A555C8" w:rsidP="00B22719">
            <w:pPr>
              <w:rPr>
                <w:rFonts w:ascii="Calibri" w:hAnsi="Calibri"/>
                <w:b/>
                <w:bCs/>
                <w:szCs w:val="20"/>
              </w:rPr>
            </w:pPr>
            <w:r w:rsidRPr="00473D35">
              <w:rPr>
                <w:rFonts w:ascii="Calibri" w:hAnsi="Calibri"/>
                <w:b/>
                <w:bCs/>
                <w:szCs w:val="20"/>
              </w:rPr>
              <w:t xml:space="preserve">Program Type </w:t>
            </w:r>
          </w:p>
        </w:tc>
        <w:tc>
          <w:tcPr>
            <w:tcW w:w="1530" w:type="dxa"/>
            <w:shd w:val="clear" w:color="auto" w:fill="D9D9D9" w:themeFill="background1" w:themeFillShade="D9"/>
            <w:hideMark/>
          </w:tcPr>
          <w:p w14:paraId="4FE3E282" w14:textId="77777777" w:rsidR="00A555C8" w:rsidRPr="00473D35" w:rsidRDefault="00A555C8" w:rsidP="00F70B5D">
            <w:pPr>
              <w:rPr>
                <w:rFonts w:ascii="Calibri" w:hAnsi="Calibri"/>
                <w:b/>
                <w:bCs/>
                <w:szCs w:val="20"/>
              </w:rPr>
            </w:pPr>
            <w:r w:rsidRPr="00473D35">
              <w:rPr>
                <w:rFonts w:ascii="Calibri" w:hAnsi="Calibri"/>
                <w:b/>
                <w:bCs/>
                <w:szCs w:val="20"/>
              </w:rPr>
              <w:t>Annual Electricity Savings (kWh/unit)</w:t>
            </w:r>
          </w:p>
        </w:tc>
        <w:tc>
          <w:tcPr>
            <w:tcW w:w="1170" w:type="dxa"/>
            <w:shd w:val="clear" w:color="auto" w:fill="D9D9D9" w:themeFill="background1" w:themeFillShade="D9"/>
            <w:hideMark/>
          </w:tcPr>
          <w:p w14:paraId="74757150" w14:textId="77777777" w:rsidR="00A555C8" w:rsidRPr="00473D35" w:rsidRDefault="00A555C8" w:rsidP="00F70B5D">
            <w:pPr>
              <w:rPr>
                <w:rFonts w:ascii="Calibri" w:hAnsi="Calibri"/>
                <w:b/>
                <w:bCs/>
                <w:szCs w:val="20"/>
              </w:rPr>
            </w:pPr>
            <w:r w:rsidRPr="00473D35">
              <w:rPr>
                <w:rFonts w:ascii="Calibri" w:hAnsi="Calibri"/>
                <w:b/>
                <w:bCs/>
                <w:szCs w:val="20"/>
              </w:rPr>
              <w:t>kW Savings (kW/unit)</w:t>
            </w:r>
          </w:p>
        </w:tc>
        <w:tc>
          <w:tcPr>
            <w:tcW w:w="1478" w:type="dxa"/>
            <w:shd w:val="clear" w:color="auto" w:fill="D9D9D9" w:themeFill="background1" w:themeFillShade="D9"/>
            <w:hideMark/>
          </w:tcPr>
          <w:p w14:paraId="5888ECF7" w14:textId="77777777" w:rsidR="00A555C8" w:rsidRPr="00473D35" w:rsidRDefault="00A555C8" w:rsidP="00F70B5D">
            <w:pPr>
              <w:rPr>
                <w:rFonts w:ascii="Calibri" w:hAnsi="Calibri"/>
                <w:b/>
                <w:bCs/>
                <w:szCs w:val="20"/>
              </w:rPr>
            </w:pPr>
            <w:proofErr w:type="spellStart"/>
            <w:r w:rsidRPr="00473D35">
              <w:rPr>
                <w:rFonts w:ascii="Calibri" w:hAnsi="Calibri"/>
                <w:b/>
                <w:bCs/>
                <w:szCs w:val="20"/>
              </w:rPr>
              <w:t>Therm</w:t>
            </w:r>
            <w:proofErr w:type="spellEnd"/>
            <w:r w:rsidRPr="00473D35">
              <w:rPr>
                <w:rFonts w:ascii="Calibri" w:hAnsi="Calibri"/>
                <w:b/>
                <w:bCs/>
                <w:szCs w:val="20"/>
              </w:rPr>
              <w:t xml:space="preserve"> Savings (</w:t>
            </w:r>
            <w:proofErr w:type="spellStart"/>
            <w:r w:rsidRPr="00473D35">
              <w:rPr>
                <w:rFonts w:ascii="Calibri" w:hAnsi="Calibri"/>
                <w:b/>
                <w:bCs/>
                <w:szCs w:val="20"/>
              </w:rPr>
              <w:t>Therm</w:t>
            </w:r>
            <w:proofErr w:type="spellEnd"/>
            <w:r w:rsidRPr="00473D35">
              <w:rPr>
                <w:rFonts w:ascii="Calibri" w:hAnsi="Calibri"/>
                <w:b/>
                <w:bCs/>
                <w:szCs w:val="20"/>
              </w:rPr>
              <w:t>/unit)</w:t>
            </w:r>
          </w:p>
        </w:tc>
      </w:tr>
      <w:tr w:rsidR="00A555C8" w:rsidRPr="00473D35" w14:paraId="4A5769FE" w14:textId="77777777" w:rsidTr="00F70B5D">
        <w:trPr>
          <w:trHeight w:val="345"/>
        </w:trPr>
        <w:tc>
          <w:tcPr>
            <w:tcW w:w="2418" w:type="dxa"/>
            <w:noWrap/>
            <w:hideMark/>
          </w:tcPr>
          <w:p w14:paraId="15321505" w14:textId="77777777" w:rsidR="00A555C8" w:rsidRPr="00473D35" w:rsidRDefault="00A555C8" w:rsidP="00F70B5D">
            <w:pPr>
              <w:rPr>
                <w:rFonts w:ascii="Calibri" w:hAnsi="Calibri"/>
                <w:color w:val="000000"/>
                <w:sz w:val="18"/>
                <w:szCs w:val="18"/>
              </w:rPr>
            </w:pPr>
            <w:r w:rsidRPr="00473D35">
              <w:rPr>
                <w:rFonts w:ascii="Calibri" w:hAnsi="Calibri" w:cs="Calibri"/>
                <w:color w:val="000000"/>
                <w:sz w:val="18"/>
                <w:szCs w:val="18"/>
              </w:rPr>
              <w:t>Main Cooler Door Auto Closer</w:t>
            </w:r>
          </w:p>
        </w:tc>
        <w:tc>
          <w:tcPr>
            <w:tcW w:w="893" w:type="dxa"/>
            <w:noWrap/>
            <w:hideMark/>
          </w:tcPr>
          <w:p w14:paraId="3D5D0FA6"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362E1AF0" w14:textId="77777777" w:rsidR="00A555C8" w:rsidRPr="00473D35" w:rsidRDefault="00A555C8" w:rsidP="00F70B5D">
            <w:pPr>
              <w:rPr>
                <w:rFonts w:ascii="Calibri" w:hAnsi="Calibri"/>
                <w:sz w:val="18"/>
                <w:szCs w:val="18"/>
              </w:rPr>
            </w:pPr>
            <w:r w:rsidRPr="00473D35">
              <w:rPr>
                <w:rFonts w:ascii="Calibri" w:hAnsi="Calibri"/>
                <w:sz w:val="18"/>
                <w:szCs w:val="18"/>
              </w:rPr>
              <w:t>1</w:t>
            </w:r>
          </w:p>
        </w:tc>
        <w:tc>
          <w:tcPr>
            <w:tcW w:w="1142" w:type="dxa"/>
            <w:hideMark/>
          </w:tcPr>
          <w:p w14:paraId="21CC358B" w14:textId="25EB1300" w:rsidR="00A555C8" w:rsidRPr="00473D35" w:rsidRDefault="00A56921" w:rsidP="00A56921">
            <w:pPr>
              <w:rPr>
                <w:rFonts w:ascii="Calibri" w:hAnsi="Calibri"/>
                <w:color w:val="000000"/>
                <w:sz w:val="18"/>
                <w:szCs w:val="18"/>
              </w:rPr>
            </w:pPr>
            <w:r>
              <w:rPr>
                <w:rFonts w:ascii="Calibri" w:hAnsi="Calibri" w:cs="Calibri"/>
                <w:color w:val="000000"/>
                <w:sz w:val="18"/>
                <w:szCs w:val="18"/>
              </w:rPr>
              <w:t>REA</w:t>
            </w:r>
          </w:p>
        </w:tc>
        <w:tc>
          <w:tcPr>
            <w:tcW w:w="1530" w:type="dxa"/>
            <w:hideMark/>
          </w:tcPr>
          <w:p w14:paraId="322ECC7F" w14:textId="77777777" w:rsidR="00A555C8" w:rsidRPr="00640329" w:rsidRDefault="00A555C8" w:rsidP="00F70B5D">
            <w:pPr>
              <w:rPr>
                <w:color w:val="000000"/>
                <w:sz w:val="18"/>
                <w:szCs w:val="18"/>
              </w:rPr>
            </w:pPr>
            <w:r w:rsidRPr="00640329">
              <w:rPr>
                <w:sz w:val="18"/>
                <w:szCs w:val="18"/>
              </w:rPr>
              <w:t>1416.80</w:t>
            </w:r>
          </w:p>
        </w:tc>
        <w:tc>
          <w:tcPr>
            <w:tcW w:w="1170" w:type="dxa"/>
            <w:hideMark/>
          </w:tcPr>
          <w:p w14:paraId="4867E40D" w14:textId="77777777" w:rsidR="00A555C8" w:rsidRPr="00640329" w:rsidRDefault="00A555C8" w:rsidP="00F70B5D">
            <w:pPr>
              <w:rPr>
                <w:color w:val="000000"/>
                <w:sz w:val="18"/>
                <w:szCs w:val="18"/>
              </w:rPr>
            </w:pPr>
            <w:r w:rsidRPr="00640329">
              <w:rPr>
                <w:sz w:val="18"/>
                <w:szCs w:val="18"/>
              </w:rPr>
              <w:t>0.44</w:t>
            </w:r>
          </w:p>
        </w:tc>
        <w:tc>
          <w:tcPr>
            <w:tcW w:w="1478" w:type="dxa"/>
            <w:hideMark/>
          </w:tcPr>
          <w:p w14:paraId="54A49E3D" w14:textId="77777777" w:rsidR="00A555C8" w:rsidRPr="00640329" w:rsidRDefault="00A555C8" w:rsidP="00F70B5D">
            <w:pPr>
              <w:rPr>
                <w:color w:val="000000"/>
                <w:sz w:val="18"/>
                <w:szCs w:val="18"/>
              </w:rPr>
            </w:pPr>
            <w:r w:rsidRPr="00640329">
              <w:rPr>
                <w:sz w:val="18"/>
                <w:szCs w:val="18"/>
              </w:rPr>
              <w:t>-0.09</w:t>
            </w:r>
          </w:p>
        </w:tc>
      </w:tr>
      <w:tr w:rsidR="00A56921" w:rsidRPr="00473D35" w14:paraId="4C6B581F" w14:textId="77777777" w:rsidTr="00F70B5D">
        <w:trPr>
          <w:trHeight w:val="345"/>
        </w:trPr>
        <w:tc>
          <w:tcPr>
            <w:tcW w:w="2418" w:type="dxa"/>
            <w:hideMark/>
          </w:tcPr>
          <w:p w14:paraId="168A1B54" w14:textId="77777777" w:rsidR="00A56921" w:rsidRPr="00473D35" w:rsidRDefault="00A56921" w:rsidP="00F70B5D">
            <w:pPr>
              <w:rPr>
                <w:rFonts w:ascii="Calibri" w:hAnsi="Calibri"/>
                <w:color w:val="000000"/>
                <w:sz w:val="18"/>
                <w:szCs w:val="18"/>
              </w:rPr>
            </w:pPr>
            <w:r w:rsidRPr="00473D35">
              <w:rPr>
                <w:rFonts w:ascii="Calibri" w:hAnsi="Calibri" w:cs="Calibri"/>
                <w:color w:val="000000"/>
                <w:sz w:val="18"/>
                <w:szCs w:val="18"/>
              </w:rPr>
              <w:t>Main Cooler Door Auto Closer</w:t>
            </w:r>
          </w:p>
        </w:tc>
        <w:tc>
          <w:tcPr>
            <w:tcW w:w="893" w:type="dxa"/>
            <w:noWrap/>
            <w:hideMark/>
          </w:tcPr>
          <w:p w14:paraId="4B472820"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03DB3FD3" w14:textId="77777777" w:rsidR="00A56921" w:rsidRPr="00473D35" w:rsidRDefault="00A56921" w:rsidP="00F70B5D">
            <w:pPr>
              <w:rPr>
                <w:rFonts w:ascii="Calibri" w:hAnsi="Calibri"/>
                <w:sz w:val="18"/>
                <w:szCs w:val="18"/>
              </w:rPr>
            </w:pPr>
            <w:r w:rsidRPr="00473D35">
              <w:rPr>
                <w:rFonts w:ascii="Calibri" w:hAnsi="Calibri"/>
                <w:sz w:val="18"/>
                <w:szCs w:val="18"/>
              </w:rPr>
              <w:t>2</w:t>
            </w:r>
          </w:p>
        </w:tc>
        <w:tc>
          <w:tcPr>
            <w:tcW w:w="1142" w:type="dxa"/>
            <w:hideMark/>
          </w:tcPr>
          <w:p w14:paraId="0D2C4039" w14:textId="4644A38B"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75A87184" w14:textId="77777777" w:rsidR="00A56921" w:rsidRPr="00640329" w:rsidRDefault="00A56921" w:rsidP="00F70B5D">
            <w:pPr>
              <w:rPr>
                <w:color w:val="000000"/>
                <w:sz w:val="18"/>
                <w:szCs w:val="18"/>
              </w:rPr>
            </w:pPr>
            <w:r w:rsidRPr="00640329">
              <w:rPr>
                <w:sz w:val="18"/>
                <w:szCs w:val="18"/>
              </w:rPr>
              <w:t>1798.93</w:t>
            </w:r>
          </w:p>
        </w:tc>
        <w:tc>
          <w:tcPr>
            <w:tcW w:w="1170" w:type="dxa"/>
            <w:hideMark/>
          </w:tcPr>
          <w:p w14:paraId="5A17D89A" w14:textId="77777777" w:rsidR="00A56921" w:rsidRPr="00640329" w:rsidRDefault="00A56921" w:rsidP="00F70B5D">
            <w:pPr>
              <w:rPr>
                <w:color w:val="000000"/>
                <w:sz w:val="18"/>
                <w:szCs w:val="18"/>
              </w:rPr>
            </w:pPr>
            <w:r w:rsidRPr="00640329">
              <w:rPr>
                <w:sz w:val="18"/>
                <w:szCs w:val="18"/>
              </w:rPr>
              <w:t>0.64</w:t>
            </w:r>
          </w:p>
        </w:tc>
        <w:tc>
          <w:tcPr>
            <w:tcW w:w="1478" w:type="dxa"/>
            <w:hideMark/>
          </w:tcPr>
          <w:p w14:paraId="5FDD6B54" w14:textId="77777777" w:rsidR="00A56921" w:rsidRPr="00640329" w:rsidRDefault="00A56921" w:rsidP="00F70B5D">
            <w:pPr>
              <w:rPr>
                <w:color w:val="000000"/>
                <w:sz w:val="18"/>
                <w:szCs w:val="18"/>
              </w:rPr>
            </w:pPr>
            <w:r w:rsidRPr="00640329">
              <w:rPr>
                <w:sz w:val="18"/>
                <w:szCs w:val="18"/>
              </w:rPr>
              <w:t>-0.61</w:t>
            </w:r>
          </w:p>
        </w:tc>
      </w:tr>
      <w:tr w:rsidR="00A56921" w:rsidRPr="00473D35" w14:paraId="4D35525F" w14:textId="77777777" w:rsidTr="00F70B5D">
        <w:trPr>
          <w:trHeight w:val="345"/>
        </w:trPr>
        <w:tc>
          <w:tcPr>
            <w:tcW w:w="2418" w:type="dxa"/>
            <w:noWrap/>
            <w:hideMark/>
          </w:tcPr>
          <w:p w14:paraId="4D207899"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71BF6F87"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5826881A" w14:textId="77777777" w:rsidR="00A56921" w:rsidRPr="00473D35" w:rsidRDefault="00A56921" w:rsidP="00F70B5D">
            <w:pPr>
              <w:rPr>
                <w:rFonts w:ascii="Calibri" w:hAnsi="Calibri"/>
                <w:sz w:val="18"/>
                <w:szCs w:val="18"/>
              </w:rPr>
            </w:pPr>
            <w:r w:rsidRPr="00473D35">
              <w:rPr>
                <w:rFonts w:ascii="Calibri" w:hAnsi="Calibri"/>
                <w:sz w:val="18"/>
                <w:szCs w:val="18"/>
              </w:rPr>
              <w:t>3</w:t>
            </w:r>
          </w:p>
        </w:tc>
        <w:tc>
          <w:tcPr>
            <w:tcW w:w="1142" w:type="dxa"/>
            <w:hideMark/>
          </w:tcPr>
          <w:p w14:paraId="5940233D" w14:textId="5242DC58"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0C94B42E" w14:textId="77777777" w:rsidR="00A56921" w:rsidRPr="00640329" w:rsidRDefault="00A56921" w:rsidP="00F70B5D">
            <w:pPr>
              <w:rPr>
                <w:color w:val="000000"/>
                <w:sz w:val="18"/>
                <w:szCs w:val="18"/>
              </w:rPr>
            </w:pPr>
            <w:r w:rsidRPr="00640329">
              <w:rPr>
                <w:sz w:val="18"/>
                <w:szCs w:val="18"/>
              </w:rPr>
              <w:t>1836.79</w:t>
            </w:r>
          </w:p>
        </w:tc>
        <w:tc>
          <w:tcPr>
            <w:tcW w:w="1170" w:type="dxa"/>
            <w:hideMark/>
          </w:tcPr>
          <w:p w14:paraId="3FD0F418" w14:textId="77777777" w:rsidR="00A56921" w:rsidRPr="00640329" w:rsidRDefault="00A56921" w:rsidP="00F70B5D">
            <w:pPr>
              <w:rPr>
                <w:color w:val="000000"/>
                <w:sz w:val="18"/>
                <w:szCs w:val="18"/>
              </w:rPr>
            </w:pPr>
            <w:r w:rsidRPr="00640329">
              <w:rPr>
                <w:sz w:val="18"/>
                <w:szCs w:val="18"/>
              </w:rPr>
              <w:t>0.58</w:t>
            </w:r>
          </w:p>
        </w:tc>
        <w:tc>
          <w:tcPr>
            <w:tcW w:w="1478" w:type="dxa"/>
            <w:hideMark/>
          </w:tcPr>
          <w:p w14:paraId="4E311D13" w14:textId="77777777" w:rsidR="00A56921" w:rsidRPr="00640329" w:rsidRDefault="00A56921" w:rsidP="00F70B5D">
            <w:pPr>
              <w:rPr>
                <w:color w:val="000000"/>
                <w:sz w:val="18"/>
                <w:szCs w:val="18"/>
              </w:rPr>
            </w:pPr>
            <w:r w:rsidRPr="00640329">
              <w:rPr>
                <w:sz w:val="18"/>
                <w:szCs w:val="18"/>
              </w:rPr>
              <w:t>0.12</w:t>
            </w:r>
          </w:p>
        </w:tc>
      </w:tr>
      <w:tr w:rsidR="00A56921" w:rsidRPr="00473D35" w14:paraId="6EDF0E10" w14:textId="77777777" w:rsidTr="00F70B5D">
        <w:trPr>
          <w:trHeight w:val="345"/>
        </w:trPr>
        <w:tc>
          <w:tcPr>
            <w:tcW w:w="2418" w:type="dxa"/>
            <w:noWrap/>
            <w:hideMark/>
          </w:tcPr>
          <w:p w14:paraId="11A5D2A4"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218EA609"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7884738B" w14:textId="77777777" w:rsidR="00A56921" w:rsidRPr="00473D35" w:rsidRDefault="00A56921" w:rsidP="00F70B5D">
            <w:pPr>
              <w:rPr>
                <w:rFonts w:ascii="Calibri" w:hAnsi="Calibri"/>
                <w:sz w:val="18"/>
                <w:szCs w:val="18"/>
              </w:rPr>
            </w:pPr>
            <w:r w:rsidRPr="00473D35">
              <w:rPr>
                <w:rFonts w:ascii="Calibri" w:hAnsi="Calibri"/>
                <w:sz w:val="18"/>
                <w:szCs w:val="18"/>
              </w:rPr>
              <w:t>4</w:t>
            </w:r>
          </w:p>
        </w:tc>
        <w:tc>
          <w:tcPr>
            <w:tcW w:w="1142" w:type="dxa"/>
            <w:hideMark/>
          </w:tcPr>
          <w:p w14:paraId="0C519841" w14:textId="6A0BF56E"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314AB9B9" w14:textId="77777777" w:rsidR="00A56921" w:rsidRPr="00640329" w:rsidRDefault="00A56921" w:rsidP="00F70B5D">
            <w:pPr>
              <w:rPr>
                <w:color w:val="000000"/>
                <w:sz w:val="18"/>
                <w:szCs w:val="18"/>
              </w:rPr>
            </w:pPr>
            <w:r w:rsidRPr="00640329">
              <w:rPr>
                <w:sz w:val="18"/>
                <w:szCs w:val="18"/>
              </w:rPr>
              <w:t>1910.31</w:t>
            </w:r>
          </w:p>
        </w:tc>
        <w:tc>
          <w:tcPr>
            <w:tcW w:w="1170" w:type="dxa"/>
            <w:hideMark/>
          </w:tcPr>
          <w:p w14:paraId="1AC3CC52" w14:textId="77777777" w:rsidR="00A56921" w:rsidRPr="00640329" w:rsidRDefault="00A56921" w:rsidP="00F70B5D">
            <w:pPr>
              <w:rPr>
                <w:color w:val="000000"/>
                <w:sz w:val="18"/>
                <w:szCs w:val="18"/>
              </w:rPr>
            </w:pPr>
            <w:r w:rsidRPr="00640329">
              <w:rPr>
                <w:sz w:val="18"/>
                <w:szCs w:val="18"/>
              </w:rPr>
              <w:t>0.52</w:t>
            </w:r>
          </w:p>
        </w:tc>
        <w:tc>
          <w:tcPr>
            <w:tcW w:w="1478" w:type="dxa"/>
            <w:hideMark/>
          </w:tcPr>
          <w:p w14:paraId="64821EA8" w14:textId="77777777" w:rsidR="00A56921" w:rsidRPr="00640329" w:rsidRDefault="00A56921" w:rsidP="00F70B5D">
            <w:pPr>
              <w:rPr>
                <w:color w:val="000000"/>
                <w:sz w:val="18"/>
                <w:szCs w:val="18"/>
              </w:rPr>
            </w:pPr>
            <w:r w:rsidRPr="00640329">
              <w:rPr>
                <w:sz w:val="18"/>
                <w:szCs w:val="18"/>
              </w:rPr>
              <w:t>-0.12</w:t>
            </w:r>
          </w:p>
        </w:tc>
      </w:tr>
      <w:tr w:rsidR="00A56921" w:rsidRPr="00473D35" w14:paraId="06DD902C" w14:textId="77777777" w:rsidTr="00F70B5D">
        <w:trPr>
          <w:trHeight w:val="345"/>
        </w:trPr>
        <w:tc>
          <w:tcPr>
            <w:tcW w:w="2418" w:type="dxa"/>
            <w:noWrap/>
            <w:hideMark/>
          </w:tcPr>
          <w:p w14:paraId="7E2B5F64"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60F7689A"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0E74BDBB" w14:textId="77777777" w:rsidR="00A56921" w:rsidRPr="00473D35" w:rsidRDefault="00A56921" w:rsidP="00F70B5D">
            <w:pPr>
              <w:rPr>
                <w:rFonts w:ascii="Calibri" w:hAnsi="Calibri"/>
                <w:sz w:val="18"/>
                <w:szCs w:val="18"/>
              </w:rPr>
            </w:pPr>
            <w:r w:rsidRPr="00473D35">
              <w:rPr>
                <w:rFonts w:ascii="Calibri" w:hAnsi="Calibri"/>
                <w:sz w:val="18"/>
                <w:szCs w:val="18"/>
              </w:rPr>
              <w:t>5</w:t>
            </w:r>
          </w:p>
        </w:tc>
        <w:tc>
          <w:tcPr>
            <w:tcW w:w="1142" w:type="dxa"/>
            <w:hideMark/>
          </w:tcPr>
          <w:p w14:paraId="2F9F63FC" w14:textId="67D37884"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10CB851B" w14:textId="77777777" w:rsidR="00A56921" w:rsidRPr="00640329" w:rsidRDefault="00A56921" w:rsidP="00F70B5D">
            <w:pPr>
              <w:rPr>
                <w:color w:val="000000"/>
                <w:sz w:val="18"/>
                <w:szCs w:val="18"/>
              </w:rPr>
            </w:pPr>
            <w:r w:rsidRPr="00640329">
              <w:rPr>
                <w:sz w:val="18"/>
                <w:szCs w:val="18"/>
              </w:rPr>
              <w:t>1725.22</w:t>
            </w:r>
          </w:p>
        </w:tc>
        <w:tc>
          <w:tcPr>
            <w:tcW w:w="1170" w:type="dxa"/>
            <w:hideMark/>
          </w:tcPr>
          <w:p w14:paraId="6ABE0604" w14:textId="77777777" w:rsidR="00A56921" w:rsidRPr="00640329" w:rsidRDefault="00A56921" w:rsidP="00F70B5D">
            <w:pPr>
              <w:rPr>
                <w:color w:val="000000"/>
                <w:sz w:val="18"/>
                <w:szCs w:val="18"/>
              </w:rPr>
            </w:pPr>
            <w:r w:rsidRPr="00640329">
              <w:rPr>
                <w:sz w:val="18"/>
                <w:szCs w:val="18"/>
              </w:rPr>
              <w:t>0.31</w:t>
            </w:r>
          </w:p>
        </w:tc>
        <w:tc>
          <w:tcPr>
            <w:tcW w:w="1478" w:type="dxa"/>
            <w:hideMark/>
          </w:tcPr>
          <w:p w14:paraId="16F9C3E9" w14:textId="77777777" w:rsidR="00A56921" w:rsidRPr="00640329" w:rsidRDefault="00A56921" w:rsidP="00F70B5D">
            <w:pPr>
              <w:rPr>
                <w:color w:val="000000"/>
                <w:sz w:val="18"/>
                <w:szCs w:val="18"/>
              </w:rPr>
            </w:pPr>
            <w:r w:rsidRPr="00640329">
              <w:rPr>
                <w:sz w:val="18"/>
                <w:szCs w:val="18"/>
              </w:rPr>
              <w:t>-0.10</w:t>
            </w:r>
          </w:p>
        </w:tc>
      </w:tr>
      <w:tr w:rsidR="00A56921" w:rsidRPr="00473D35" w14:paraId="7EB727BF" w14:textId="77777777" w:rsidTr="00F70B5D">
        <w:trPr>
          <w:trHeight w:val="345"/>
        </w:trPr>
        <w:tc>
          <w:tcPr>
            <w:tcW w:w="2418" w:type="dxa"/>
            <w:noWrap/>
            <w:hideMark/>
          </w:tcPr>
          <w:p w14:paraId="7CF0A93E"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3799B7BE"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1F2AD68E" w14:textId="77777777" w:rsidR="00A56921" w:rsidRPr="00473D35" w:rsidRDefault="00A56921" w:rsidP="00F70B5D">
            <w:pPr>
              <w:rPr>
                <w:rFonts w:ascii="Calibri" w:hAnsi="Calibri"/>
                <w:sz w:val="18"/>
                <w:szCs w:val="18"/>
              </w:rPr>
            </w:pPr>
            <w:r w:rsidRPr="00473D35">
              <w:rPr>
                <w:rFonts w:ascii="Calibri" w:hAnsi="Calibri"/>
                <w:sz w:val="18"/>
                <w:szCs w:val="18"/>
              </w:rPr>
              <w:t>6</w:t>
            </w:r>
          </w:p>
        </w:tc>
        <w:tc>
          <w:tcPr>
            <w:tcW w:w="1142" w:type="dxa"/>
            <w:hideMark/>
          </w:tcPr>
          <w:p w14:paraId="4975D9F4" w14:textId="36C34DF3"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493753B6" w14:textId="77777777" w:rsidR="00A56921" w:rsidRPr="00640329" w:rsidRDefault="00A56921" w:rsidP="00F70B5D">
            <w:pPr>
              <w:rPr>
                <w:color w:val="000000"/>
                <w:sz w:val="18"/>
                <w:szCs w:val="18"/>
              </w:rPr>
            </w:pPr>
            <w:r w:rsidRPr="00640329">
              <w:rPr>
                <w:sz w:val="18"/>
                <w:szCs w:val="18"/>
              </w:rPr>
              <w:t>2327.34</w:t>
            </w:r>
          </w:p>
        </w:tc>
        <w:tc>
          <w:tcPr>
            <w:tcW w:w="1170" w:type="dxa"/>
            <w:hideMark/>
          </w:tcPr>
          <w:p w14:paraId="6A93406F" w14:textId="77777777" w:rsidR="00A56921" w:rsidRPr="00640329" w:rsidRDefault="00A56921" w:rsidP="00F70B5D">
            <w:pPr>
              <w:rPr>
                <w:color w:val="000000"/>
                <w:sz w:val="18"/>
                <w:szCs w:val="18"/>
              </w:rPr>
            </w:pPr>
            <w:r w:rsidRPr="00640329">
              <w:rPr>
                <w:sz w:val="18"/>
                <w:szCs w:val="18"/>
              </w:rPr>
              <w:t>0.30</w:t>
            </w:r>
          </w:p>
        </w:tc>
        <w:tc>
          <w:tcPr>
            <w:tcW w:w="1478" w:type="dxa"/>
            <w:hideMark/>
          </w:tcPr>
          <w:p w14:paraId="2E1BE1EE" w14:textId="77777777" w:rsidR="00A56921" w:rsidRPr="00640329" w:rsidRDefault="00A56921" w:rsidP="00F70B5D">
            <w:pPr>
              <w:rPr>
                <w:color w:val="000000"/>
                <w:sz w:val="18"/>
                <w:szCs w:val="18"/>
              </w:rPr>
            </w:pPr>
            <w:r w:rsidRPr="00640329">
              <w:rPr>
                <w:sz w:val="18"/>
                <w:szCs w:val="18"/>
              </w:rPr>
              <w:t>-0.98</w:t>
            </w:r>
          </w:p>
        </w:tc>
      </w:tr>
      <w:tr w:rsidR="00A56921" w:rsidRPr="00473D35" w14:paraId="290C48BA" w14:textId="77777777" w:rsidTr="00F70B5D">
        <w:trPr>
          <w:trHeight w:val="345"/>
        </w:trPr>
        <w:tc>
          <w:tcPr>
            <w:tcW w:w="2418" w:type="dxa"/>
            <w:noWrap/>
            <w:hideMark/>
          </w:tcPr>
          <w:p w14:paraId="537CC4BE"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74949EB0"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0498B4D6" w14:textId="77777777" w:rsidR="00A56921" w:rsidRPr="00473D35" w:rsidRDefault="00A56921" w:rsidP="00F70B5D">
            <w:pPr>
              <w:rPr>
                <w:rFonts w:ascii="Calibri" w:hAnsi="Calibri"/>
                <w:sz w:val="18"/>
                <w:szCs w:val="18"/>
              </w:rPr>
            </w:pPr>
            <w:r w:rsidRPr="00473D35">
              <w:rPr>
                <w:rFonts w:ascii="Calibri" w:hAnsi="Calibri"/>
                <w:sz w:val="18"/>
                <w:szCs w:val="18"/>
              </w:rPr>
              <w:t>8</w:t>
            </w:r>
          </w:p>
        </w:tc>
        <w:tc>
          <w:tcPr>
            <w:tcW w:w="1142" w:type="dxa"/>
            <w:hideMark/>
          </w:tcPr>
          <w:p w14:paraId="715E229F" w14:textId="7D922FA0"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43632665" w14:textId="77777777" w:rsidR="00A56921" w:rsidRPr="00640329" w:rsidRDefault="00A56921" w:rsidP="00F70B5D">
            <w:pPr>
              <w:rPr>
                <w:color w:val="000000"/>
                <w:sz w:val="18"/>
                <w:szCs w:val="18"/>
              </w:rPr>
            </w:pPr>
            <w:r w:rsidRPr="00640329">
              <w:rPr>
                <w:sz w:val="18"/>
                <w:szCs w:val="18"/>
              </w:rPr>
              <w:t>2429.11</w:t>
            </w:r>
          </w:p>
        </w:tc>
        <w:tc>
          <w:tcPr>
            <w:tcW w:w="1170" w:type="dxa"/>
            <w:hideMark/>
          </w:tcPr>
          <w:p w14:paraId="4DC4DB9D" w14:textId="77777777" w:rsidR="00A56921" w:rsidRPr="00640329" w:rsidRDefault="00A56921" w:rsidP="00F70B5D">
            <w:pPr>
              <w:rPr>
                <w:color w:val="000000"/>
                <w:sz w:val="18"/>
                <w:szCs w:val="18"/>
              </w:rPr>
            </w:pPr>
            <w:r w:rsidRPr="00640329">
              <w:rPr>
                <w:sz w:val="18"/>
                <w:szCs w:val="18"/>
              </w:rPr>
              <w:t>0.56</w:t>
            </w:r>
          </w:p>
        </w:tc>
        <w:tc>
          <w:tcPr>
            <w:tcW w:w="1478" w:type="dxa"/>
            <w:hideMark/>
          </w:tcPr>
          <w:p w14:paraId="1429F798" w14:textId="77777777" w:rsidR="00A56921" w:rsidRPr="00640329" w:rsidRDefault="00A56921" w:rsidP="00F70B5D">
            <w:pPr>
              <w:rPr>
                <w:color w:val="000000"/>
                <w:sz w:val="18"/>
                <w:szCs w:val="18"/>
              </w:rPr>
            </w:pPr>
            <w:r w:rsidRPr="00640329">
              <w:rPr>
                <w:sz w:val="18"/>
                <w:szCs w:val="18"/>
              </w:rPr>
              <w:t>-0.11</w:t>
            </w:r>
          </w:p>
        </w:tc>
      </w:tr>
      <w:tr w:rsidR="00A56921" w:rsidRPr="00473D35" w14:paraId="7114BA2A" w14:textId="77777777" w:rsidTr="00F70B5D">
        <w:trPr>
          <w:trHeight w:val="345"/>
        </w:trPr>
        <w:tc>
          <w:tcPr>
            <w:tcW w:w="2418" w:type="dxa"/>
            <w:noWrap/>
            <w:hideMark/>
          </w:tcPr>
          <w:p w14:paraId="574EDE7C"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07BA2FDD"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0CCAEB95" w14:textId="77777777" w:rsidR="00A56921" w:rsidRPr="00473D35" w:rsidRDefault="00A56921" w:rsidP="00F70B5D">
            <w:pPr>
              <w:rPr>
                <w:rFonts w:ascii="Calibri" w:hAnsi="Calibri"/>
                <w:sz w:val="18"/>
                <w:szCs w:val="18"/>
              </w:rPr>
            </w:pPr>
            <w:r w:rsidRPr="00473D35">
              <w:rPr>
                <w:rFonts w:ascii="Calibri" w:hAnsi="Calibri"/>
                <w:sz w:val="18"/>
                <w:szCs w:val="18"/>
              </w:rPr>
              <w:t>9</w:t>
            </w:r>
          </w:p>
        </w:tc>
        <w:tc>
          <w:tcPr>
            <w:tcW w:w="1142" w:type="dxa"/>
            <w:hideMark/>
          </w:tcPr>
          <w:p w14:paraId="5FBC72BE" w14:textId="6C3A10D9"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5B8AC507" w14:textId="77777777" w:rsidR="00A56921" w:rsidRPr="00640329" w:rsidRDefault="00A56921" w:rsidP="00F70B5D">
            <w:pPr>
              <w:rPr>
                <w:color w:val="000000"/>
                <w:sz w:val="18"/>
                <w:szCs w:val="18"/>
              </w:rPr>
            </w:pPr>
            <w:r w:rsidRPr="00640329">
              <w:rPr>
                <w:sz w:val="18"/>
                <w:szCs w:val="18"/>
              </w:rPr>
              <w:t>2298.13</w:t>
            </w:r>
          </w:p>
        </w:tc>
        <w:tc>
          <w:tcPr>
            <w:tcW w:w="1170" w:type="dxa"/>
            <w:hideMark/>
          </w:tcPr>
          <w:p w14:paraId="75B58DDC" w14:textId="77777777" w:rsidR="00A56921" w:rsidRPr="00640329" w:rsidRDefault="00A56921" w:rsidP="00F70B5D">
            <w:pPr>
              <w:rPr>
                <w:color w:val="000000"/>
                <w:sz w:val="18"/>
                <w:szCs w:val="18"/>
              </w:rPr>
            </w:pPr>
            <w:r w:rsidRPr="00640329">
              <w:rPr>
                <w:sz w:val="18"/>
                <w:szCs w:val="18"/>
              </w:rPr>
              <w:t>0.65</w:t>
            </w:r>
          </w:p>
        </w:tc>
        <w:tc>
          <w:tcPr>
            <w:tcW w:w="1478" w:type="dxa"/>
            <w:hideMark/>
          </w:tcPr>
          <w:p w14:paraId="5110157A" w14:textId="77777777" w:rsidR="00A56921" w:rsidRPr="00640329" w:rsidRDefault="00A56921" w:rsidP="00F70B5D">
            <w:pPr>
              <w:rPr>
                <w:color w:val="000000"/>
                <w:sz w:val="18"/>
                <w:szCs w:val="18"/>
              </w:rPr>
            </w:pPr>
            <w:r w:rsidRPr="00640329">
              <w:rPr>
                <w:sz w:val="18"/>
                <w:szCs w:val="18"/>
              </w:rPr>
              <w:t>-0.08</w:t>
            </w:r>
          </w:p>
        </w:tc>
      </w:tr>
      <w:tr w:rsidR="00A56921" w:rsidRPr="00473D35" w14:paraId="6EEF31FB" w14:textId="77777777" w:rsidTr="00F70B5D">
        <w:trPr>
          <w:trHeight w:val="345"/>
        </w:trPr>
        <w:tc>
          <w:tcPr>
            <w:tcW w:w="2418" w:type="dxa"/>
            <w:noWrap/>
            <w:hideMark/>
          </w:tcPr>
          <w:p w14:paraId="4336DD16"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2ACC6A56"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7F183ACF" w14:textId="77777777" w:rsidR="00A56921" w:rsidRPr="00473D35" w:rsidRDefault="00A56921" w:rsidP="00F70B5D">
            <w:pPr>
              <w:rPr>
                <w:rFonts w:ascii="Calibri" w:hAnsi="Calibri"/>
                <w:sz w:val="18"/>
                <w:szCs w:val="18"/>
              </w:rPr>
            </w:pPr>
            <w:r w:rsidRPr="00473D35">
              <w:rPr>
                <w:rFonts w:ascii="Calibri" w:hAnsi="Calibri"/>
                <w:sz w:val="18"/>
                <w:szCs w:val="18"/>
              </w:rPr>
              <w:t>10</w:t>
            </w:r>
          </w:p>
        </w:tc>
        <w:tc>
          <w:tcPr>
            <w:tcW w:w="1142" w:type="dxa"/>
            <w:hideMark/>
          </w:tcPr>
          <w:p w14:paraId="5F9501AC" w14:textId="0AA53B43"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726E01AB" w14:textId="77777777" w:rsidR="00A56921" w:rsidRPr="00640329" w:rsidRDefault="00A56921" w:rsidP="00F70B5D">
            <w:pPr>
              <w:rPr>
                <w:color w:val="000000"/>
                <w:sz w:val="18"/>
                <w:szCs w:val="18"/>
              </w:rPr>
            </w:pPr>
            <w:r w:rsidRPr="00640329">
              <w:rPr>
                <w:sz w:val="18"/>
                <w:szCs w:val="18"/>
              </w:rPr>
              <w:t>2264.48</w:t>
            </w:r>
          </w:p>
        </w:tc>
        <w:tc>
          <w:tcPr>
            <w:tcW w:w="1170" w:type="dxa"/>
            <w:hideMark/>
          </w:tcPr>
          <w:p w14:paraId="0142E354" w14:textId="77777777" w:rsidR="00A56921" w:rsidRPr="00640329" w:rsidRDefault="00A56921" w:rsidP="00F70B5D">
            <w:pPr>
              <w:rPr>
                <w:color w:val="000000"/>
                <w:sz w:val="18"/>
                <w:szCs w:val="18"/>
              </w:rPr>
            </w:pPr>
            <w:r w:rsidRPr="00640329">
              <w:rPr>
                <w:sz w:val="18"/>
                <w:szCs w:val="18"/>
              </w:rPr>
              <w:t>1.24</w:t>
            </w:r>
          </w:p>
        </w:tc>
        <w:tc>
          <w:tcPr>
            <w:tcW w:w="1478" w:type="dxa"/>
            <w:hideMark/>
          </w:tcPr>
          <w:p w14:paraId="7E17B7B2" w14:textId="77777777" w:rsidR="00A56921" w:rsidRPr="00640329" w:rsidRDefault="00A56921" w:rsidP="00F70B5D">
            <w:pPr>
              <w:rPr>
                <w:color w:val="000000"/>
                <w:sz w:val="18"/>
                <w:szCs w:val="18"/>
              </w:rPr>
            </w:pPr>
            <w:r w:rsidRPr="00640329">
              <w:rPr>
                <w:sz w:val="18"/>
                <w:szCs w:val="18"/>
              </w:rPr>
              <w:t>-0.07</w:t>
            </w:r>
          </w:p>
        </w:tc>
      </w:tr>
      <w:tr w:rsidR="00A56921" w:rsidRPr="00473D35" w14:paraId="35C41C36" w14:textId="77777777" w:rsidTr="00F70B5D">
        <w:trPr>
          <w:trHeight w:val="345"/>
        </w:trPr>
        <w:tc>
          <w:tcPr>
            <w:tcW w:w="2418" w:type="dxa"/>
            <w:noWrap/>
            <w:hideMark/>
          </w:tcPr>
          <w:p w14:paraId="695D5B66"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3D884394"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2F955158" w14:textId="77777777" w:rsidR="00A56921" w:rsidRPr="00473D35" w:rsidRDefault="00A56921" w:rsidP="00F70B5D">
            <w:pPr>
              <w:rPr>
                <w:rFonts w:ascii="Calibri" w:hAnsi="Calibri"/>
                <w:sz w:val="18"/>
                <w:szCs w:val="18"/>
              </w:rPr>
            </w:pPr>
            <w:r w:rsidRPr="00473D35">
              <w:rPr>
                <w:rFonts w:ascii="Calibri" w:hAnsi="Calibri"/>
                <w:sz w:val="18"/>
                <w:szCs w:val="18"/>
              </w:rPr>
              <w:t>11</w:t>
            </w:r>
          </w:p>
        </w:tc>
        <w:tc>
          <w:tcPr>
            <w:tcW w:w="1142" w:type="dxa"/>
            <w:hideMark/>
          </w:tcPr>
          <w:p w14:paraId="0E5E68E0" w14:textId="7FDF3880"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56EA0CED" w14:textId="77777777" w:rsidR="00A56921" w:rsidRPr="00640329" w:rsidRDefault="00A56921" w:rsidP="00F70B5D">
            <w:pPr>
              <w:rPr>
                <w:color w:val="000000"/>
                <w:sz w:val="18"/>
                <w:szCs w:val="18"/>
              </w:rPr>
            </w:pPr>
            <w:r w:rsidRPr="00640329">
              <w:rPr>
                <w:sz w:val="18"/>
                <w:szCs w:val="18"/>
              </w:rPr>
              <w:t>2110.15</w:t>
            </w:r>
          </w:p>
        </w:tc>
        <w:tc>
          <w:tcPr>
            <w:tcW w:w="1170" w:type="dxa"/>
            <w:hideMark/>
          </w:tcPr>
          <w:p w14:paraId="6BFEB8BC" w14:textId="77777777" w:rsidR="00A56921" w:rsidRPr="00640329" w:rsidRDefault="00A56921" w:rsidP="00F70B5D">
            <w:pPr>
              <w:rPr>
                <w:color w:val="000000"/>
                <w:sz w:val="18"/>
                <w:szCs w:val="18"/>
              </w:rPr>
            </w:pPr>
            <w:r w:rsidRPr="00640329">
              <w:rPr>
                <w:sz w:val="18"/>
                <w:szCs w:val="18"/>
              </w:rPr>
              <w:t>0.79</w:t>
            </w:r>
          </w:p>
        </w:tc>
        <w:tc>
          <w:tcPr>
            <w:tcW w:w="1478" w:type="dxa"/>
            <w:hideMark/>
          </w:tcPr>
          <w:p w14:paraId="2601FFEE" w14:textId="77777777" w:rsidR="00A56921" w:rsidRPr="00640329" w:rsidRDefault="00A56921" w:rsidP="00F70B5D">
            <w:pPr>
              <w:rPr>
                <w:color w:val="000000"/>
                <w:sz w:val="18"/>
                <w:szCs w:val="18"/>
              </w:rPr>
            </w:pPr>
            <w:r w:rsidRPr="00640329">
              <w:rPr>
                <w:sz w:val="18"/>
                <w:szCs w:val="18"/>
              </w:rPr>
              <w:t>-0.13</w:t>
            </w:r>
          </w:p>
        </w:tc>
      </w:tr>
      <w:tr w:rsidR="00A56921" w:rsidRPr="00473D35" w14:paraId="26A099C6" w14:textId="77777777" w:rsidTr="00F70B5D">
        <w:trPr>
          <w:trHeight w:val="345"/>
        </w:trPr>
        <w:tc>
          <w:tcPr>
            <w:tcW w:w="2418" w:type="dxa"/>
            <w:noWrap/>
            <w:hideMark/>
          </w:tcPr>
          <w:p w14:paraId="3F7B19C9"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70990983"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3A0ECA18" w14:textId="77777777" w:rsidR="00A56921" w:rsidRPr="00473D35" w:rsidRDefault="00A56921" w:rsidP="00F70B5D">
            <w:pPr>
              <w:rPr>
                <w:rFonts w:ascii="Calibri" w:hAnsi="Calibri"/>
                <w:sz w:val="18"/>
                <w:szCs w:val="18"/>
              </w:rPr>
            </w:pPr>
            <w:r w:rsidRPr="00473D35">
              <w:rPr>
                <w:rFonts w:ascii="Calibri" w:hAnsi="Calibri"/>
                <w:sz w:val="18"/>
                <w:szCs w:val="18"/>
              </w:rPr>
              <w:t>12</w:t>
            </w:r>
          </w:p>
        </w:tc>
        <w:tc>
          <w:tcPr>
            <w:tcW w:w="1142" w:type="dxa"/>
            <w:hideMark/>
          </w:tcPr>
          <w:p w14:paraId="646BDCF3" w14:textId="31878B6D"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19083524" w14:textId="77777777" w:rsidR="00A56921" w:rsidRPr="00640329" w:rsidRDefault="00A56921" w:rsidP="00F70B5D">
            <w:pPr>
              <w:rPr>
                <w:color w:val="000000"/>
                <w:sz w:val="18"/>
                <w:szCs w:val="18"/>
              </w:rPr>
            </w:pPr>
            <w:r w:rsidRPr="00640329">
              <w:rPr>
                <w:sz w:val="18"/>
                <w:szCs w:val="18"/>
              </w:rPr>
              <w:t>2074.98</w:t>
            </w:r>
          </w:p>
        </w:tc>
        <w:tc>
          <w:tcPr>
            <w:tcW w:w="1170" w:type="dxa"/>
            <w:hideMark/>
          </w:tcPr>
          <w:p w14:paraId="6AEB57E7" w14:textId="77777777" w:rsidR="00A56921" w:rsidRPr="00640329" w:rsidRDefault="00A56921" w:rsidP="00F70B5D">
            <w:pPr>
              <w:rPr>
                <w:color w:val="000000"/>
                <w:sz w:val="18"/>
                <w:szCs w:val="18"/>
              </w:rPr>
            </w:pPr>
            <w:r w:rsidRPr="00640329">
              <w:rPr>
                <w:sz w:val="18"/>
                <w:szCs w:val="18"/>
              </w:rPr>
              <w:t>0.46</w:t>
            </w:r>
          </w:p>
        </w:tc>
        <w:tc>
          <w:tcPr>
            <w:tcW w:w="1478" w:type="dxa"/>
            <w:hideMark/>
          </w:tcPr>
          <w:p w14:paraId="6198311A" w14:textId="77777777" w:rsidR="00A56921" w:rsidRPr="00640329" w:rsidRDefault="00A56921" w:rsidP="00F70B5D">
            <w:pPr>
              <w:rPr>
                <w:color w:val="000000"/>
                <w:sz w:val="18"/>
                <w:szCs w:val="18"/>
              </w:rPr>
            </w:pPr>
            <w:r w:rsidRPr="00640329">
              <w:rPr>
                <w:sz w:val="18"/>
                <w:szCs w:val="18"/>
              </w:rPr>
              <w:t>-0.60</w:t>
            </w:r>
          </w:p>
        </w:tc>
      </w:tr>
      <w:tr w:rsidR="00A56921" w:rsidRPr="00473D35" w14:paraId="23BFD6E5" w14:textId="77777777" w:rsidTr="00F70B5D">
        <w:trPr>
          <w:trHeight w:val="345"/>
        </w:trPr>
        <w:tc>
          <w:tcPr>
            <w:tcW w:w="2418" w:type="dxa"/>
            <w:noWrap/>
            <w:hideMark/>
          </w:tcPr>
          <w:p w14:paraId="7A3806E9"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526E0B82"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62BC6599" w14:textId="77777777" w:rsidR="00A56921" w:rsidRPr="00473D35" w:rsidRDefault="00A56921" w:rsidP="00F70B5D">
            <w:pPr>
              <w:rPr>
                <w:rFonts w:ascii="Calibri" w:hAnsi="Calibri"/>
                <w:sz w:val="18"/>
                <w:szCs w:val="18"/>
              </w:rPr>
            </w:pPr>
            <w:r w:rsidRPr="00473D35">
              <w:rPr>
                <w:rFonts w:ascii="Calibri" w:hAnsi="Calibri"/>
                <w:sz w:val="18"/>
                <w:szCs w:val="18"/>
              </w:rPr>
              <w:t>13</w:t>
            </w:r>
          </w:p>
        </w:tc>
        <w:tc>
          <w:tcPr>
            <w:tcW w:w="1142" w:type="dxa"/>
            <w:hideMark/>
          </w:tcPr>
          <w:p w14:paraId="70928395" w14:textId="37FC9111"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3FCEE5A3" w14:textId="77777777" w:rsidR="00A56921" w:rsidRPr="00640329" w:rsidRDefault="00A56921" w:rsidP="00F70B5D">
            <w:pPr>
              <w:rPr>
                <w:color w:val="000000"/>
                <w:sz w:val="18"/>
                <w:szCs w:val="18"/>
              </w:rPr>
            </w:pPr>
            <w:r w:rsidRPr="00640329">
              <w:rPr>
                <w:sz w:val="18"/>
                <w:szCs w:val="18"/>
              </w:rPr>
              <w:t>2342.68</w:t>
            </w:r>
          </w:p>
        </w:tc>
        <w:tc>
          <w:tcPr>
            <w:tcW w:w="1170" w:type="dxa"/>
            <w:hideMark/>
          </w:tcPr>
          <w:p w14:paraId="7F4C7773" w14:textId="77777777" w:rsidR="00A56921" w:rsidRPr="00640329" w:rsidRDefault="00A56921" w:rsidP="00F70B5D">
            <w:pPr>
              <w:rPr>
                <w:color w:val="000000"/>
                <w:sz w:val="18"/>
                <w:szCs w:val="18"/>
              </w:rPr>
            </w:pPr>
            <w:r w:rsidRPr="00640329">
              <w:rPr>
                <w:sz w:val="18"/>
                <w:szCs w:val="18"/>
              </w:rPr>
              <w:t>0.79</w:t>
            </w:r>
          </w:p>
        </w:tc>
        <w:tc>
          <w:tcPr>
            <w:tcW w:w="1478" w:type="dxa"/>
            <w:hideMark/>
          </w:tcPr>
          <w:p w14:paraId="338F83CB" w14:textId="77777777" w:rsidR="00A56921" w:rsidRPr="00640329" w:rsidRDefault="00A56921" w:rsidP="00F70B5D">
            <w:pPr>
              <w:rPr>
                <w:color w:val="000000"/>
                <w:sz w:val="18"/>
                <w:szCs w:val="18"/>
              </w:rPr>
            </w:pPr>
            <w:r w:rsidRPr="00640329">
              <w:rPr>
                <w:sz w:val="18"/>
                <w:szCs w:val="18"/>
              </w:rPr>
              <w:t>-0.06</w:t>
            </w:r>
          </w:p>
        </w:tc>
      </w:tr>
      <w:tr w:rsidR="00A56921" w:rsidRPr="00473D35" w14:paraId="46F1A9E8" w14:textId="77777777" w:rsidTr="00F70B5D">
        <w:trPr>
          <w:trHeight w:val="345"/>
        </w:trPr>
        <w:tc>
          <w:tcPr>
            <w:tcW w:w="2418" w:type="dxa"/>
            <w:noWrap/>
            <w:hideMark/>
          </w:tcPr>
          <w:p w14:paraId="11A3C1FF"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52560CF5"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4A3BEB1F" w14:textId="77777777" w:rsidR="00A56921" w:rsidRPr="00473D35" w:rsidRDefault="00A56921" w:rsidP="00F70B5D">
            <w:pPr>
              <w:rPr>
                <w:rFonts w:ascii="Calibri" w:hAnsi="Calibri"/>
                <w:sz w:val="18"/>
                <w:szCs w:val="18"/>
              </w:rPr>
            </w:pPr>
            <w:r w:rsidRPr="00473D35">
              <w:rPr>
                <w:rFonts w:ascii="Calibri" w:hAnsi="Calibri"/>
                <w:sz w:val="18"/>
                <w:szCs w:val="18"/>
              </w:rPr>
              <w:t>14</w:t>
            </w:r>
          </w:p>
        </w:tc>
        <w:tc>
          <w:tcPr>
            <w:tcW w:w="1142" w:type="dxa"/>
            <w:hideMark/>
          </w:tcPr>
          <w:p w14:paraId="77B7CF1D" w14:textId="6F56030D"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619176FB" w14:textId="77777777" w:rsidR="00A56921" w:rsidRPr="00640329" w:rsidRDefault="00A56921" w:rsidP="00F70B5D">
            <w:pPr>
              <w:rPr>
                <w:color w:val="000000"/>
                <w:sz w:val="18"/>
                <w:szCs w:val="18"/>
              </w:rPr>
            </w:pPr>
            <w:r w:rsidRPr="00640329">
              <w:rPr>
                <w:sz w:val="18"/>
                <w:szCs w:val="18"/>
              </w:rPr>
              <w:t>1813.65</w:t>
            </w:r>
          </w:p>
        </w:tc>
        <w:tc>
          <w:tcPr>
            <w:tcW w:w="1170" w:type="dxa"/>
            <w:hideMark/>
          </w:tcPr>
          <w:p w14:paraId="248E674F" w14:textId="77777777" w:rsidR="00A56921" w:rsidRPr="00640329" w:rsidRDefault="00A56921" w:rsidP="00F70B5D">
            <w:pPr>
              <w:rPr>
                <w:color w:val="000000"/>
                <w:sz w:val="18"/>
                <w:szCs w:val="18"/>
              </w:rPr>
            </w:pPr>
            <w:r w:rsidRPr="00640329">
              <w:rPr>
                <w:sz w:val="18"/>
                <w:szCs w:val="18"/>
              </w:rPr>
              <w:t>1.22</w:t>
            </w:r>
          </w:p>
        </w:tc>
        <w:tc>
          <w:tcPr>
            <w:tcW w:w="1478" w:type="dxa"/>
            <w:hideMark/>
          </w:tcPr>
          <w:p w14:paraId="061DF94D" w14:textId="77777777" w:rsidR="00A56921" w:rsidRPr="00640329" w:rsidRDefault="00A56921" w:rsidP="00F70B5D">
            <w:pPr>
              <w:rPr>
                <w:color w:val="000000"/>
                <w:sz w:val="18"/>
                <w:szCs w:val="18"/>
              </w:rPr>
            </w:pPr>
            <w:r w:rsidRPr="00640329">
              <w:rPr>
                <w:sz w:val="18"/>
                <w:szCs w:val="18"/>
              </w:rPr>
              <w:t>-0.05</w:t>
            </w:r>
          </w:p>
        </w:tc>
      </w:tr>
      <w:tr w:rsidR="00A56921" w:rsidRPr="00473D35" w14:paraId="1839B1CC" w14:textId="77777777" w:rsidTr="00F70B5D">
        <w:trPr>
          <w:trHeight w:val="345"/>
        </w:trPr>
        <w:tc>
          <w:tcPr>
            <w:tcW w:w="2418" w:type="dxa"/>
            <w:noWrap/>
            <w:hideMark/>
          </w:tcPr>
          <w:p w14:paraId="40100631"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41CA68A2"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0D1CD8BC" w14:textId="77777777" w:rsidR="00A56921" w:rsidRPr="00473D35" w:rsidRDefault="00A56921" w:rsidP="00F70B5D">
            <w:pPr>
              <w:rPr>
                <w:rFonts w:ascii="Calibri" w:hAnsi="Calibri"/>
                <w:sz w:val="18"/>
                <w:szCs w:val="18"/>
              </w:rPr>
            </w:pPr>
            <w:r w:rsidRPr="00473D35">
              <w:rPr>
                <w:rFonts w:ascii="Calibri" w:hAnsi="Calibri"/>
                <w:sz w:val="18"/>
                <w:szCs w:val="18"/>
              </w:rPr>
              <w:t>15</w:t>
            </w:r>
          </w:p>
        </w:tc>
        <w:tc>
          <w:tcPr>
            <w:tcW w:w="1142" w:type="dxa"/>
            <w:hideMark/>
          </w:tcPr>
          <w:p w14:paraId="26B35B85" w14:textId="51C00DAC"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49CAD223" w14:textId="77777777" w:rsidR="00A56921" w:rsidRPr="00640329" w:rsidRDefault="00A56921" w:rsidP="00F70B5D">
            <w:pPr>
              <w:rPr>
                <w:color w:val="000000"/>
                <w:sz w:val="18"/>
                <w:szCs w:val="18"/>
              </w:rPr>
            </w:pPr>
            <w:r w:rsidRPr="00640329">
              <w:rPr>
                <w:sz w:val="18"/>
                <w:szCs w:val="18"/>
              </w:rPr>
              <w:t>2356.39</w:t>
            </w:r>
          </w:p>
        </w:tc>
        <w:tc>
          <w:tcPr>
            <w:tcW w:w="1170" w:type="dxa"/>
            <w:hideMark/>
          </w:tcPr>
          <w:p w14:paraId="04EC53DF" w14:textId="77777777" w:rsidR="00A56921" w:rsidRPr="00640329" w:rsidRDefault="00A56921" w:rsidP="00F70B5D">
            <w:pPr>
              <w:rPr>
                <w:color w:val="000000"/>
                <w:sz w:val="18"/>
                <w:szCs w:val="18"/>
              </w:rPr>
            </w:pPr>
            <w:r w:rsidRPr="00640329">
              <w:rPr>
                <w:sz w:val="18"/>
                <w:szCs w:val="18"/>
              </w:rPr>
              <w:t>0.37</w:t>
            </w:r>
          </w:p>
        </w:tc>
        <w:tc>
          <w:tcPr>
            <w:tcW w:w="1478" w:type="dxa"/>
            <w:hideMark/>
          </w:tcPr>
          <w:p w14:paraId="795A4C9A" w14:textId="77777777" w:rsidR="00A56921" w:rsidRPr="00640329" w:rsidRDefault="00A56921" w:rsidP="00F70B5D">
            <w:pPr>
              <w:rPr>
                <w:color w:val="000000"/>
                <w:sz w:val="18"/>
                <w:szCs w:val="18"/>
              </w:rPr>
            </w:pPr>
            <w:r w:rsidRPr="00640329">
              <w:rPr>
                <w:sz w:val="18"/>
                <w:szCs w:val="18"/>
              </w:rPr>
              <w:t>-0.05</w:t>
            </w:r>
          </w:p>
        </w:tc>
      </w:tr>
      <w:tr w:rsidR="00A56921" w:rsidRPr="00473D35" w14:paraId="113408CD" w14:textId="77777777" w:rsidTr="00F70B5D">
        <w:trPr>
          <w:trHeight w:val="345"/>
        </w:trPr>
        <w:tc>
          <w:tcPr>
            <w:tcW w:w="2418" w:type="dxa"/>
            <w:noWrap/>
            <w:hideMark/>
          </w:tcPr>
          <w:p w14:paraId="7866B0B4" w14:textId="77777777" w:rsidR="00A56921" w:rsidRPr="00473D35" w:rsidRDefault="00A56921"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1695E22E" w14:textId="77777777" w:rsidR="00A56921" w:rsidRPr="00473D35" w:rsidRDefault="00A56921" w:rsidP="00F70B5D">
            <w:pPr>
              <w:rPr>
                <w:rFonts w:ascii="Calibri" w:hAnsi="Calibri"/>
                <w:sz w:val="18"/>
                <w:szCs w:val="18"/>
              </w:rPr>
            </w:pPr>
            <w:r w:rsidRPr="00473D35">
              <w:rPr>
                <w:rFonts w:ascii="Calibri" w:hAnsi="Calibri"/>
                <w:sz w:val="18"/>
                <w:szCs w:val="18"/>
              </w:rPr>
              <w:t>Grocery</w:t>
            </w:r>
          </w:p>
        </w:tc>
        <w:tc>
          <w:tcPr>
            <w:tcW w:w="852" w:type="dxa"/>
            <w:hideMark/>
          </w:tcPr>
          <w:p w14:paraId="0F12AAB2" w14:textId="77777777" w:rsidR="00A56921" w:rsidRPr="00473D35" w:rsidRDefault="00A56921" w:rsidP="00F70B5D">
            <w:pPr>
              <w:rPr>
                <w:rFonts w:ascii="Calibri" w:hAnsi="Calibri"/>
                <w:sz w:val="18"/>
                <w:szCs w:val="18"/>
              </w:rPr>
            </w:pPr>
            <w:r w:rsidRPr="00473D35">
              <w:rPr>
                <w:rFonts w:ascii="Calibri" w:hAnsi="Calibri"/>
                <w:sz w:val="18"/>
                <w:szCs w:val="18"/>
              </w:rPr>
              <w:t>16</w:t>
            </w:r>
          </w:p>
        </w:tc>
        <w:tc>
          <w:tcPr>
            <w:tcW w:w="1142" w:type="dxa"/>
            <w:hideMark/>
          </w:tcPr>
          <w:p w14:paraId="5A2B3A0A" w14:textId="4FD95461" w:rsidR="00A56921" w:rsidRPr="00473D35" w:rsidRDefault="00A56921" w:rsidP="00F70B5D">
            <w:pPr>
              <w:rPr>
                <w:rFonts w:ascii="Calibri" w:hAnsi="Calibri"/>
                <w:color w:val="000000"/>
                <w:sz w:val="18"/>
                <w:szCs w:val="18"/>
              </w:rPr>
            </w:pPr>
            <w:r w:rsidRPr="00992420">
              <w:rPr>
                <w:rFonts w:ascii="Calibri" w:hAnsi="Calibri" w:cs="Calibri"/>
                <w:color w:val="000000"/>
                <w:sz w:val="18"/>
                <w:szCs w:val="18"/>
              </w:rPr>
              <w:t>REA</w:t>
            </w:r>
          </w:p>
        </w:tc>
        <w:tc>
          <w:tcPr>
            <w:tcW w:w="1530" w:type="dxa"/>
            <w:hideMark/>
          </w:tcPr>
          <w:p w14:paraId="475E877F" w14:textId="77777777" w:rsidR="00A56921" w:rsidRPr="00640329" w:rsidRDefault="00A56921" w:rsidP="00F70B5D">
            <w:pPr>
              <w:rPr>
                <w:color w:val="000000"/>
                <w:sz w:val="18"/>
                <w:szCs w:val="18"/>
              </w:rPr>
            </w:pPr>
            <w:r w:rsidRPr="00640329">
              <w:rPr>
                <w:sz w:val="18"/>
                <w:szCs w:val="18"/>
              </w:rPr>
              <w:t>899.12</w:t>
            </w:r>
          </w:p>
        </w:tc>
        <w:tc>
          <w:tcPr>
            <w:tcW w:w="1170" w:type="dxa"/>
            <w:hideMark/>
          </w:tcPr>
          <w:p w14:paraId="1080E244" w14:textId="77777777" w:rsidR="00A56921" w:rsidRPr="00640329" w:rsidRDefault="00A56921" w:rsidP="00F70B5D">
            <w:pPr>
              <w:rPr>
                <w:color w:val="000000"/>
                <w:sz w:val="18"/>
                <w:szCs w:val="18"/>
              </w:rPr>
            </w:pPr>
            <w:r w:rsidRPr="00640329">
              <w:rPr>
                <w:sz w:val="18"/>
                <w:szCs w:val="18"/>
              </w:rPr>
              <w:t>0.46</w:t>
            </w:r>
          </w:p>
        </w:tc>
        <w:tc>
          <w:tcPr>
            <w:tcW w:w="1478" w:type="dxa"/>
            <w:hideMark/>
          </w:tcPr>
          <w:p w14:paraId="3B74F6FD" w14:textId="77777777" w:rsidR="00A56921" w:rsidRPr="00640329" w:rsidRDefault="00A56921" w:rsidP="00F70B5D">
            <w:pPr>
              <w:rPr>
                <w:color w:val="000000"/>
                <w:sz w:val="18"/>
                <w:szCs w:val="18"/>
              </w:rPr>
            </w:pPr>
            <w:r w:rsidRPr="00640329">
              <w:rPr>
                <w:sz w:val="18"/>
                <w:szCs w:val="18"/>
              </w:rPr>
              <w:t>-0.03</w:t>
            </w:r>
          </w:p>
        </w:tc>
      </w:tr>
    </w:tbl>
    <w:p w14:paraId="6C7EC920" w14:textId="49C926A2" w:rsidR="00E16609" w:rsidRPr="00500C4E" w:rsidRDefault="00E16609" w:rsidP="00E16609">
      <w:pPr>
        <w:pStyle w:val="Heading1"/>
        <w:keepNext w:val="0"/>
        <w:rPr>
          <w:rFonts w:cstheme="minorHAnsi"/>
        </w:rPr>
      </w:pPr>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7365CED1"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w:t>
      </w:r>
      <w:r w:rsidR="009729D2">
        <w:rPr>
          <w:rFonts w:cstheme="minorHAnsi"/>
          <w:szCs w:val="22"/>
        </w:rPr>
        <w:t>is</w:t>
      </w:r>
      <w:r w:rsidR="000173BF" w:rsidRPr="00500C4E">
        <w:rPr>
          <w:rFonts w:cstheme="minorHAnsi"/>
          <w:szCs w:val="22"/>
        </w:rPr>
        <w:t xml:space="preserve"> measure</w:t>
      </w:r>
      <w:r w:rsidR="009729D2">
        <w:rPr>
          <w:rFonts w:cstheme="minorHAnsi"/>
          <w:szCs w:val="22"/>
        </w:rPr>
        <w:t xml:space="preserve"> </w:t>
      </w:r>
      <w:r w:rsidR="000173BF" w:rsidRPr="00500C4E">
        <w:rPr>
          <w:rFonts w:cstheme="minorHAnsi"/>
          <w:szCs w:val="22"/>
        </w:rPr>
        <w:t>are</w:t>
      </w:r>
      <w:r w:rsidR="00E16609" w:rsidRPr="00500C4E">
        <w:rPr>
          <w:rFonts w:cstheme="minorHAnsi"/>
          <w:szCs w:val="22"/>
        </w:rPr>
        <w:t xml:space="preserve"> </w:t>
      </w:r>
      <w:r w:rsidR="000173BF" w:rsidRPr="00500C4E">
        <w:rPr>
          <w:rFonts w:cstheme="minorHAnsi"/>
          <w:szCs w:val="22"/>
        </w:rPr>
        <w:t xml:space="preserve">listed in </w:t>
      </w:r>
      <w:r w:rsidR="00B833AE">
        <w:rPr>
          <w:rFonts w:cstheme="minorHAnsi"/>
          <w:szCs w:val="22"/>
        </w:rPr>
        <w:t>the</w:t>
      </w:r>
      <w:r w:rsidR="00331DCE">
        <w:rPr>
          <w:rFonts w:cstheme="minorHAnsi"/>
          <w:szCs w:val="22"/>
        </w:rPr>
        <w:t xml:space="preserve"> </w:t>
      </w:r>
      <w:r w:rsidR="00676C70">
        <w:rPr>
          <w:rFonts w:cstheme="minorHAnsi"/>
          <w:szCs w:val="22"/>
        </w:rPr>
        <w:t>t</w:t>
      </w:r>
      <w:r w:rsidR="00331DCE">
        <w:rPr>
          <w:rFonts w:cstheme="minorHAnsi"/>
          <w:szCs w:val="22"/>
        </w:rPr>
        <w:t>able below.</w:t>
      </w:r>
      <w:r w:rsidR="00B833AE">
        <w:rPr>
          <w:rFonts w:cstheme="minorHAnsi"/>
          <w:szCs w:val="22"/>
        </w:rPr>
        <w:t xml:space="preserve"> </w:t>
      </w:r>
    </w:p>
    <w:p w14:paraId="09EFF8A0" w14:textId="77777777" w:rsidR="00DE6843" w:rsidRPr="00500C4E" w:rsidRDefault="00DE6843" w:rsidP="00E16609">
      <w:pPr>
        <w:rPr>
          <w:rFonts w:cstheme="minorHAnsi"/>
          <w:szCs w:val="22"/>
        </w:rPr>
      </w:pPr>
    </w:p>
    <w:p w14:paraId="4E5AEDD2" w14:textId="6DCD15D2" w:rsidR="00E16609" w:rsidRPr="00500C4E" w:rsidRDefault="002A3D26" w:rsidP="00DA5082">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DB4BA7" w:rsidRPr="00DB4BA7" w14:paraId="3D341893" w14:textId="77777777" w:rsidTr="00920905">
        <w:tc>
          <w:tcPr>
            <w:tcW w:w="1686" w:type="pct"/>
          </w:tcPr>
          <w:p w14:paraId="4FA2FF6D" w14:textId="44101CEC" w:rsidR="00B64DD9" w:rsidRPr="00DB4BA7" w:rsidRDefault="00B64DD9" w:rsidP="00B64DD9">
            <w:pPr>
              <w:rPr>
                <w:rFonts w:cstheme="minorHAnsi"/>
                <w:szCs w:val="20"/>
              </w:rPr>
            </w:pPr>
            <w:r w:rsidRPr="00DB4BA7">
              <w:rPr>
                <w:rFonts w:ascii="Calibri" w:hAnsi="Calibri" w:cs="Calibri"/>
                <w:szCs w:val="20"/>
              </w:rPr>
              <w:t>Education - Primary School</w:t>
            </w:r>
          </w:p>
        </w:tc>
        <w:tc>
          <w:tcPr>
            <w:tcW w:w="1779" w:type="pct"/>
          </w:tcPr>
          <w:p w14:paraId="3B2DCD1E" w14:textId="57EDB52C" w:rsidR="00B64DD9" w:rsidRPr="00DB4BA7" w:rsidRDefault="00B64DD9" w:rsidP="00B64DD9">
            <w:pPr>
              <w:rPr>
                <w:rFonts w:cstheme="minorHAnsi"/>
                <w:szCs w:val="20"/>
              </w:rPr>
            </w:pPr>
            <w:r w:rsidRPr="00DB4BA7">
              <w:rPr>
                <w:rFonts w:ascii="Calibri" w:hAnsi="Calibri" w:cs="Calibri"/>
                <w:szCs w:val="20"/>
              </w:rPr>
              <w:t>Refrigeration</w:t>
            </w:r>
          </w:p>
        </w:tc>
        <w:tc>
          <w:tcPr>
            <w:tcW w:w="1535" w:type="pct"/>
          </w:tcPr>
          <w:p w14:paraId="6722CD8A" w14:textId="499D6B01" w:rsidR="00B64DD9" w:rsidRPr="00DB4BA7" w:rsidRDefault="00DC06BF" w:rsidP="00B64DD9">
            <w:pPr>
              <w:rPr>
                <w:rFonts w:cstheme="minorHAnsi"/>
                <w:szCs w:val="20"/>
              </w:rPr>
            </w:pPr>
            <w:r w:rsidRPr="00DB4BA7">
              <w:rPr>
                <w:rFonts w:cstheme="minorHAnsi"/>
                <w:szCs w:val="20"/>
              </w:rPr>
              <w:t>K_thru_12_School</w:t>
            </w:r>
          </w:p>
        </w:tc>
      </w:tr>
      <w:tr w:rsidR="00DB4BA7" w:rsidRPr="00DB4BA7" w14:paraId="1FB64A38" w14:textId="77777777" w:rsidTr="00920905">
        <w:tc>
          <w:tcPr>
            <w:tcW w:w="1686" w:type="pct"/>
          </w:tcPr>
          <w:p w14:paraId="129F9965" w14:textId="5CC3F457" w:rsidR="00DC06BF" w:rsidRPr="00DB4BA7" w:rsidRDefault="00DC06BF" w:rsidP="00B64DD9">
            <w:pPr>
              <w:rPr>
                <w:rFonts w:cstheme="minorHAnsi"/>
                <w:szCs w:val="20"/>
              </w:rPr>
            </w:pPr>
            <w:r w:rsidRPr="00DB4BA7">
              <w:rPr>
                <w:rFonts w:ascii="Calibri" w:hAnsi="Calibri" w:cs="Calibri"/>
                <w:szCs w:val="20"/>
              </w:rPr>
              <w:t>Education - Community College</w:t>
            </w:r>
          </w:p>
        </w:tc>
        <w:tc>
          <w:tcPr>
            <w:tcW w:w="1779" w:type="pct"/>
          </w:tcPr>
          <w:p w14:paraId="0FCC70F1" w14:textId="67213C01" w:rsidR="00DC06BF" w:rsidRPr="00DB4BA7" w:rsidRDefault="00DC06BF" w:rsidP="00B64DD9">
            <w:pPr>
              <w:rPr>
                <w:rFonts w:cstheme="minorHAnsi"/>
                <w:szCs w:val="20"/>
              </w:rPr>
            </w:pPr>
            <w:r w:rsidRPr="00DB4BA7">
              <w:rPr>
                <w:rFonts w:ascii="Calibri" w:hAnsi="Calibri" w:cs="Calibri"/>
                <w:szCs w:val="20"/>
              </w:rPr>
              <w:t>Refrigeration</w:t>
            </w:r>
          </w:p>
        </w:tc>
        <w:tc>
          <w:tcPr>
            <w:tcW w:w="1535" w:type="pct"/>
          </w:tcPr>
          <w:p w14:paraId="31157856" w14:textId="07725695" w:rsidR="00DC06BF" w:rsidRPr="00DB4BA7" w:rsidRDefault="00DC06BF" w:rsidP="00B64DD9">
            <w:pPr>
              <w:rPr>
                <w:rFonts w:cstheme="minorHAnsi"/>
                <w:szCs w:val="20"/>
              </w:rPr>
            </w:pPr>
            <w:proofErr w:type="spellStart"/>
            <w:r w:rsidRPr="00DB4BA7">
              <w:rPr>
                <w:rFonts w:ascii="Calibri" w:hAnsi="Calibri" w:cs="Calibri"/>
                <w:szCs w:val="20"/>
              </w:rPr>
              <w:t>College_University</w:t>
            </w:r>
            <w:proofErr w:type="spellEnd"/>
          </w:p>
        </w:tc>
      </w:tr>
      <w:tr w:rsidR="00DB4BA7" w:rsidRPr="00DB4BA7" w14:paraId="51364062" w14:textId="77777777" w:rsidTr="00920905">
        <w:tc>
          <w:tcPr>
            <w:tcW w:w="1686" w:type="pct"/>
          </w:tcPr>
          <w:p w14:paraId="782FB73C" w14:textId="64819BE6" w:rsidR="00DC06BF" w:rsidRPr="00DB4BA7" w:rsidRDefault="00DC06BF" w:rsidP="00B64DD9">
            <w:pPr>
              <w:rPr>
                <w:rFonts w:cstheme="minorHAnsi"/>
                <w:szCs w:val="20"/>
              </w:rPr>
            </w:pPr>
            <w:r w:rsidRPr="00DB4BA7">
              <w:rPr>
                <w:rFonts w:ascii="Calibri" w:hAnsi="Calibri" w:cs="Calibri"/>
                <w:szCs w:val="20"/>
              </w:rPr>
              <w:t>Education - University</w:t>
            </w:r>
          </w:p>
        </w:tc>
        <w:tc>
          <w:tcPr>
            <w:tcW w:w="1779" w:type="pct"/>
          </w:tcPr>
          <w:p w14:paraId="59956F42" w14:textId="0107DAF8" w:rsidR="00DC06BF" w:rsidRPr="00DB4BA7" w:rsidRDefault="00DC06BF" w:rsidP="00B64DD9">
            <w:pPr>
              <w:rPr>
                <w:rFonts w:cstheme="minorHAnsi"/>
                <w:szCs w:val="20"/>
              </w:rPr>
            </w:pPr>
            <w:r w:rsidRPr="00DB4BA7">
              <w:rPr>
                <w:rFonts w:ascii="Calibri" w:hAnsi="Calibri" w:cs="Calibri"/>
                <w:szCs w:val="20"/>
              </w:rPr>
              <w:t>Refrigeration</w:t>
            </w:r>
          </w:p>
        </w:tc>
        <w:tc>
          <w:tcPr>
            <w:tcW w:w="1535" w:type="pct"/>
          </w:tcPr>
          <w:p w14:paraId="54DA2E7C" w14:textId="4870460E" w:rsidR="00DC06BF" w:rsidRPr="00DB4BA7" w:rsidRDefault="00DC06BF" w:rsidP="00B64DD9">
            <w:pPr>
              <w:rPr>
                <w:rFonts w:cstheme="minorHAnsi"/>
                <w:szCs w:val="20"/>
              </w:rPr>
            </w:pPr>
            <w:proofErr w:type="spellStart"/>
            <w:r w:rsidRPr="00DB4BA7">
              <w:rPr>
                <w:rFonts w:ascii="Calibri" w:hAnsi="Calibri" w:cs="Calibri"/>
                <w:szCs w:val="20"/>
              </w:rPr>
              <w:t>College_University</w:t>
            </w:r>
            <w:proofErr w:type="spellEnd"/>
          </w:p>
        </w:tc>
      </w:tr>
      <w:tr w:rsidR="00DB4BA7" w:rsidRPr="00DB4BA7" w14:paraId="0CD48172" w14:textId="77777777" w:rsidTr="00920905">
        <w:tc>
          <w:tcPr>
            <w:tcW w:w="1686" w:type="pct"/>
          </w:tcPr>
          <w:p w14:paraId="2950DAAD" w14:textId="5B46AEC7" w:rsidR="00DC06BF" w:rsidRPr="00DB4BA7" w:rsidRDefault="00DC06BF" w:rsidP="00B64DD9">
            <w:pPr>
              <w:rPr>
                <w:rFonts w:cstheme="minorHAnsi"/>
                <w:szCs w:val="20"/>
              </w:rPr>
            </w:pPr>
            <w:r w:rsidRPr="00DB4BA7">
              <w:rPr>
                <w:rFonts w:ascii="Calibri" w:hAnsi="Calibri" w:cs="Calibri"/>
                <w:szCs w:val="20"/>
              </w:rPr>
              <w:t>Grocery</w:t>
            </w:r>
          </w:p>
        </w:tc>
        <w:tc>
          <w:tcPr>
            <w:tcW w:w="1779" w:type="pct"/>
          </w:tcPr>
          <w:p w14:paraId="1DE1E7FB" w14:textId="2567FF16" w:rsidR="00DC06BF" w:rsidRPr="00DB4BA7" w:rsidRDefault="00DC06BF" w:rsidP="00B64DD9">
            <w:pPr>
              <w:rPr>
                <w:rFonts w:cstheme="minorHAnsi"/>
                <w:szCs w:val="20"/>
              </w:rPr>
            </w:pPr>
            <w:r w:rsidRPr="00DB4BA7">
              <w:rPr>
                <w:rFonts w:ascii="Calibri" w:hAnsi="Calibri" w:cs="Calibri"/>
                <w:szCs w:val="20"/>
              </w:rPr>
              <w:t>Refrigeration</w:t>
            </w:r>
          </w:p>
        </w:tc>
        <w:tc>
          <w:tcPr>
            <w:tcW w:w="1535" w:type="pct"/>
          </w:tcPr>
          <w:p w14:paraId="7E8D4672" w14:textId="0BC600F1" w:rsidR="00DC06BF" w:rsidRPr="00DB4BA7" w:rsidRDefault="00DC06BF" w:rsidP="00B64DD9">
            <w:pPr>
              <w:rPr>
                <w:rFonts w:cstheme="minorHAnsi"/>
                <w:szCs w:val="20"/>
              </w:rPr>
            </w:pPr>
            <w:proofErr w:type="spellStart"/>
            <w:r w:rsidRPr="00DB4BA7">
              <w:rPr>
                <w:rFonts w:ascii="Calibri" w:hAnsi="Calibri" w:cs="Calibri"/>
                <w:szCs w:val="20"/>
              </w:rPr>
              <w:t>Grocery_Store</w:t>
            </w:r>
            <w:proofErr w:type="spellEnd"/>
          </w:p>
        </w:tc>
      </w:tr>
      <w:tr w:rsidR="00DB4BA7" w:rsidRPr="00DB4BA7" w14:paraId="62EF3C61" w14:textId="77777777" w:rsidTr="00920905">
        <w:tc>
          <w:tcPr>
            <w:tcW w:w="1686" w:type="pct"/>
          </w:tcPr>
          <w:p w14:paraId="748C9664" w14:textId="7DDD782E" w:rsidR="00DC06BF" w:rsidRPr="00DB4BA7" w:rsidRDefault="00DC06BF" w:rsidP="00B64DD9">
            <w:pPr>
              <w:rPr>
                <w:rFonts w:cstheme="minorHAnsi"/>
                <w:szCs w:val="20"/>
              </w:rPr>
            </w:pPr>
            <w:r w:rsidRPr="00DB4BA7">
              <w:rPr>
                <w:rFonts w:ascii="Calibri" w:hAnsi="Calibri" w:cs="Calibri"/>
                <w:szCs w:val="20"/>
              </w:rPr>
              <w:t>Health/Medical - Hospital</w:t>
            </w:r>
          </w:p>
        </w:tc>
        <w:tc>
          <w:tcPr>
            <w:tcW w:w="1779" w:type="pct"/>
          </w:tcPr>
          <w:p w14:paraId="5072687E" w14:textId="3B729C10" w:rsidR="00DC06BF" w:rsidRPr="00DB4BA7" w:rsidRDefault="00DC06BF" w:rsidP="00B64DD9">
            <w:pPr>
              <w:rPr>
                <w:rFonts w:cstheme="minorHAnsi"/>
                <w:szCs w:val="20"/>
              </w:rPr>
            </w:pPr>
            <w:r w:rsidRPr="00DB4BA7">
              <w:rPr>
                <w:rFonts w:ascii="Calibri" w:hAnsi="Calibri" w:cs="Calibri"/>
                <w:szCs w:val="20"/>
              </w:rPr>
              <w:t>Refrigeration</w:t>
            </w:r>
          </w:p>
        </w:tc>
        <w:tc>
          <w:tcPr>
            <w:tcW w:w="1535" w:type="pct"/>
          </w:tcPr>
          <w:p w14:paraId="501F7C45" w14:textId="461EC796" w:rsidR="00DC06BF" w:rsidRPr="00DB4BA7" w:rsidRDefault="00DC06BF" w:rsidP="00B64DD9">
            <w:pPr>
              <w:rPr>
                <w:rFonts w:cstheme="minorHAnsi"/>
                <w:szCs w:val="20"/>
              </w:rPr>
            </w:pPr>
            <w:r w:rsidRPr="00DB4BA7">
              <w:rPr>
                <w:rFonts w:ascii="Calibri" w:hAnsi="Calibri" w:cs="Calibri"/>
                <w:szCs w:val="20"/>
              </w:rPr>
              <w:t>Hospital</w:t>
            </w:r>
          </w:p>
        </w:tc>
      </w:tr>
      <w:tr w:rsidR="00DB4BA7" w:rsidRPr="00DB4BA7" w14:paraId="49C07C85" w14:textId="77777777" w:rsidTr="00920905">
        <w:tc>
          <w:tcPr>
            <w:tcW w:w="1686" w:type="pct"/>
          </w:tcPr>
          <w:p w14:paraId="0EEC42DD" w14:textId="34586C81" w:rsidR="00DC06BF" w:rsidRPr="00DB4BA7" w:rsidRDefault="00DC06BF" w:rsidP="00B64DD9">
            <w:pPr>
              <w:rPr>
                <w:rFonts w:cstheme="minorHAnsi"/>
                <w:szCs w:val="20"/>
              </w:rPr>
            </w:pPr>
            <w:r w:rsidRPr="00DB4BA7">
              <w:rPr>
                <w:rFonts w:ascii="Calibri" w:hAnsi="Calibri" w:cs="Calibri"/>
                <w:szCs w:val="20"/>
              </w:rPr>
              <w:t>Health/Medical - Nursing Home</w:t>
            </w:r>
          </w:p>
        </w:tc>
        <w:tc>
          <w:tcPr>
            <w:tcW w:w="1779" w:type="pct"/>
          </w:tcPr>
          <w:p w14:paraId="18CDC1CC" w14:textId="36D9E8FE" w:rsidR="00DC06BF" w:rsidRPr="00DB4BA7" w:rsidRDefault="00DC06BF" w:rsidP="00B64DD9">
            <w:pPr>
              <w:rPr>
                <w:rFonts w:cstheme="minorHAnsi"/>
                <w:szCs w:val="20"/>
              </w:rPr>
            </w:pPr>
            <w:r w:rsidRPr="00DB4BA7">
              <w:rPr>
                <w:rFonts w:ascii="Calibri" w:hAnsi="Calibri" w:cs="Calibri"/>
                <w:szCs w:val="20"/>
              </w:rPr>
              <w:t>Refrigeration</w:t>
            </w:r>
          </w:p>
        </w:tc>
        <w:tc>
          <w:tcPr>
            <w:tcW w:w="1535" w:type="pct"/>
          </w:tcPr>
          <w:p w14:paraId="28907AB7" w14:textId="25DB9B83" w:rsidR="00DC06BF" w:rsidRPr="00DB4BA7" w:rsidRDefault="00DC06BF" w:rsidP="00B64DD9">
            <w:pPr>
              <w:rPr>
                <w:rFonts w:cstheme="minorHAnsi"/>
                <w:szCs w:val="20"/>
              </w:rPr>
            </w:pPr>
            <w:proofErr w:type="spellStart"/>
            <w:r w:rsidRPr="00DB4BA7">
              <w:rPr>
                <w:rFonts w:ascii="Calibri" w:hAnsi="Calibri" w:cs="Calibri"/>
                <w:szCs w:val="20"/>
              </w:rPr>
              <w:t>Medical_Clinic</w:t>
            </w:r>
            <w:proofErr w:type="spellEnd"/>
          </w:p>
        </w:tc>
      </w:tr>
      <w:tr w:rsidR="00DB4BA7" w:rsidRPr="00DB4BA7" w14:paraId="1C07497D" w14:textId="77777777" w:rsidTr="00920905">
        <w:tc>
          <w:tcPr>
            <w:tcW w:w="1686" w:type="pct"/>
          </w:tcPr>
          <w:p w14:paraId="7875E370" w14:textId="3F476B01" w:rsidR="00DC06BF" w:rsidRPr="00DB4BA7" w:rsidRDefault="00DC06BF" w:rsidP="00B64DD9">
            <w:pPr>
              <w:rPr>
                <w:rFonts w:cstheme="minorHAnsi"/>
                <w:szCs w:val="20"/>
              </w:rPr>
            </w:pPr>
            <w:r w:rsidRPr="00DB4BA7">
              <w:rPr>
                <w:rFonts w:ascii="Calibri" w:hAnsi="Calibri" w:cs="Calibri"/>
                <w:szCs w:val="20"/>
              </w:rPr>
              <w:t>Lodging - Hotel</w:t>
            </w:r>
          </w:p>
        </w:tc>
        <w:tc>
          <w:tcPr>
            <w:tcW w:w="1779" w:type="pct"/>
          </w:tcPr>
          <w:p w14:paraId="5DA339D2" w14:textId="60CC2BE4" w:rsidR="00DC06BF" w:rsidRPr="00DB4BA7" w:rsidRDefault="00DC06BF" w:rsidP="00B64DD9">
            <w:pPr>
              <w:rPr>
                <w:rFonts w:cstheme="minorHAnsi"/>
                <w:szCs w:val="20"/>
              </w:rPr>
            </w:pPr>
            <w:r w:rsidRPr="00DB4BA7">
              <w:rPr>
                <w:rFonts w:ascii="Calibri" w:hAnsi="Calibri" w:cs="Calibri"/>
                <w:szCs w:val="20"/>
              </w:rPr>
              <w:t>Refrigeration</w:t>
            </w:r>
          </w:p>
        </w:tc>
        <w:tc>
          <w:tcPr>
            <w:tcW w:w="1535" w:type="pct"/>
          </w:tcPr>
          <w:p w14:paraId="59EE0A20" w14:textId="74E9B825" w:rsidR="00DC06BF" w:rsidRPr="00DB4BA7" w:rsidRDefault="00DC06BF" w:rsidP="00B64DD9">
            <w:pPr>
              <w:rPr>
                <w:rFonts w:cstheme="minorHAnsi"/>
                <w:szCs w:val="20"/>
              </w:rPr>
            </w:pPr>
            <w:proofErr w:type="spellStart"/>
            <w:r w:rsidRPr="00DB4BA7">
              <w:rPr>
                <w:rFonts w:ascii="Calibri" w:hAnsi="Calibri" w:cs="Calibri"/>
                <w:szCs w:val="20"/>
              </w:rPr>
              <w:t>Hotel_Motel</w:t>
            </w:r>
            <w:proofErr w:type="spellEnd"/>
          </w:p>
        </w:tc>
      </w:tr>
      <w:tr w:rsidR="00DB4BA7" w:rsidRPr="00DB4BA7" w14:paraId="645712ED" w14:textId="77777777" w:rsidTr="00920905">
        <w:tc>
          <w:tcPr>
            <w:tcW w:w="1686" w:type="pct"/>
          </w:tcPr>
          <w:p w14:paraId="694405F4" w14:textId="1813DFC4" w:rsidR="00DC06BF" w:rsidRPr="00DB4BA7" w:rsidRDefault="00DC06BF" w:rsidP="00B64DD9">
            <w:pPr>
              <w:rPr>
                <w:rFonts w:cstheme="minorHAnsi"/>
                <w:szCs w:val="20"/>
              </w:rPr>
            </w:pPr>
            <w:r w:rsidRPr="00DB4BA7">
              <w:rPr>
                <w:rFonts w:ascii="Calibri" w:hAnsi="Calibri" w:cs="Calibri"/>
                <w:szCs w:val="20"/>
              </w:rPr>
              <w:t>Office – Large</w:t>
            </w:r>
          </w:p>
        </w:tc>
        <w:tc>
          <w:tcPr>
            <w:tcW w:w="1779" w:type="pct"/>
          </w:tcPr>
          <w:p w14:paraId="71A555ED" w14:textId="4AF5F9B8" w:rsidR="00DC06BF" w:rsidRPr="00DB4BA7" w:rsidRDefault="00DC06BF" w:rsidP="00B64DD9">
            <w:pPr>
              <w:rPr>
                <w:rFonts w:cstheme="minorHAnsi"/>
                <w:szCs w:val="20"/>
              </w:rPr>
            </w:pPr>
            <w:r w:rsidRPr="00DB4BA7">
              <w:rPr>
                <w:rFonts w:ascii="Calibri" w:hAnsi="Calibri" w:cs="Calibri"/>
                <w:szCs w:val="20"/>
              </w:rPr>
              <w:t>Refrigeration</w:t>
            </w:r>
          </w:p>
        </w:tc>
        <w:tc>
          <w:tcPr>
            <w:tcW w:w="1535" w:type="pct"/>
          </w:tcPr>
          <w:p w14:paraId="6EDE61B3" w14:textId="374D5F4B" w:rsidR="00DC06BF" w:rsidRPr="00DB4BA7" w:rsidRDefault="00DC06BF" w:rsidP="00B64DD9">
            <w:pPr>
              <w:rPr>
                <w:rFonts w:cstheme="minorHAnsi"/>
                <w:szCs w:val="20"/>
              </w:rPr>
            </w:pPr>
            <w:proofErr w:type="spellStart"/>
            <w:r w:rsidRPr="00DB4BA7">
              <w:rPr>
                <w:rFonts w:cstheme="minorHAnsi"/>
                <w:szCs w:val="20"/>
              </w:rPr>
              <w:t>Large_Office</w:t>
            </w:r>
            <w:proofErr w:type="spellEnd"/>
          </w:p>
        </w:tc>
      </w:tr>
      <w:tr w:rsidR="00DB4BA7" w:rsidRPr="00DB4BA7" w14:paraId="31C0A518" w14:textId="77777777" w:rsidTr="00920905">
        <w:tc>
          <w:tcPr>
            <w:tcW w:w="1686" w:type="pct"/>
          </w:tcPr>
          <w:p w14:paraId="7B7DF485" w14:textId="68E8F884" w:rsidR="00DC06BF" w:rsidRPr="00DB4BA7" w:rsidRDefault="00DC06BF" w:rsidP="00B64DD9">
            <w:pPr>
              <w:rPr>
                <w:rFonts w:ascii="Calibri" w:hAnsi="Calibri" w:cs="Calibri"/>
                <w:szCs w:val="20"/>
              </w:rPr>
            </w:pPr>
            <w:r w:rsidRPr="00DB4BA7">
              <w:rPr>
                <w:rFonts w:ascii="Calibri" w:hAnsi="Calibri" w:cs="Calibri"/>
                <w:szCs w:val="20"/>
              </w:rPr>
              <w:t>Office – Small</w:t>
            </w:r>
          </w:p>
        </w:tc>
        <w:tc>
          <w:tcPr>
            <w:tcW w:w="1779" w:type="pct"/>
          </w:tcPr>
          <w:p w14:paraId="2A1A9E22" w14:textId="5979DD56" w:rsidR="00DC06BF" w:rsidRPr="00DB4BA7" w:rsidRDefault="00DC06BF" w:rsidP="00B64DD9">
            <w:pPr>
              <w:rPr>
                <w:rFonts w:cstheme="minorHAnsi"/>
                <w:szCs w:val="20"/>
              </w:rPr>
            </w:pPr>
            <w:r w:rsidRPr="00DB4BA7">
              <w:rPr>
                <w:rFonts w:ascii="Calibri" w:hAnsi="Calibri" w:cs="Calibri"/>
                <w:szCs w:val="20"/>
              </w:rPr>
              <w:t>Refrigeration</w:t>
            </w:r>
          </w:p>
        </w:tc>
        <w:tc>
          <w:tcPr>
            <w:tcW w:w="1535" w:type="pct"/>
          </w:tcPr>
          <w:p w14:paraId="5A315617" w14:textId="24E7AAF0" w:rsidR="00DC06BF" w:rsidRPr="00DB4BA7" w:rsidRDefault="00DC06BF" w:rsidP="00B64DD9">
            <w:pPr>
              <w:rPr>
                <w:rFonts w:cstheme="minorHAnsi"/>
                <w:szCs w:val="20"/>
              </w:rPr>
            </w:pPr>
            <w:proofErr w:type="spellStart"/>
            <w:r w:rsidRPr="00DB4BA7">
              <w:rPr>
                <w:rFonts w:cstheme="minorHAnsi"/>
                <w:szCs w:val="20"/>
              </w:rPr>
              <w:t>Small_Office</w:t>
            </w:r>
            <w:proofErr w:type="spellEnd"/>
          </w:p>
        </w:tc>
      </w:tr>
      <w:tr w:rsidR="00DB4BA7" w:rsidRPr="00DB4BA7" w14:paraId="10ED44FE" w14:textId="77777777" w:rsidTr="00920905">
        <w:tc>
          <w:tcPr>
            <w:tcW w:w="1686" w:type="pct"/>
          </w:tcPr>
          <w:p w14:paraId="468A6368" w14:textId="208A2397" w:rsidR="00DC06BF" w:rsidRPr="00DB4BA7" w:rsidRDefault="00DC06BF" w:rsidP="00893D10">
            <w:pPr>
              <w:rPr>
                <w:rFonts w:cstheme="minorHAnsi"/>
                <w:szCs w:val="20"/>
              </w:rPr>
            </w:pPr>
            <w:r w:rsidRPr="00DB4BA7">
              <w:rPr>
                <w:rFonts w:ascii="Calibri" w:hAnsi="Calibri" w:cs="Calibri"/>
                <w:szCs w:val="20"/>
              </w:rPr>
              <w:t>Restaurant - Fast-Food</w:t>
            </w:r>
          </w:p>
        </w:tc>
        <w:tc>
          <w:tcPr>
            <w:tcW w:w="1779" w:type="pct"/>
          </w:tcPr>
          <w:p w14:paraId="461476E1" w14:textId="5F7376D8" w:rsidR="00DC06BF" w:rsidRPr="00DB4BA7" w:rsidRDefault="00DC06BF" w:rsidP="00893D10">
            <w:pPr>
              <w:rPr>
                <w:rFonts w:cstheme="minorHAnsi"/>
                <w:szCs w:val="20"/>
              </w:rPr>
            </w:pPr>
            <w:r w:rsidRPr="00DB4BA7">
              <w:rPr>
                <w:rFonts w:ascii="Calibri" w:hAnsi="Calibri" w:cs="Calibri"/>
                <w:szCs w:val="20"/>
              </w:rPr>
              <w:t>Refrigeration</w:t>
            </w:r>
          </w:p>
        </w:tc>
        <w:tc>
          <w:tcPr>
            <w:tcW w:w="1535" w:type="pct"/>
          </w:tcPr>
          <w:p w14:paraId="1A21775F" w14:textId="430425A1" w:rsidR="00DC06BF" w:rsidRPr="00DB4BA7" w:rsidRDefault="00DC06BF" w:rsidP="00893D10">
            <w:pPr>
              <w:rPr>
                <w:rFonts w:cstheme="minorHAnsi"/>
                <w:szCs w:val="20"/>
              </w:rPr>
            </w:pPr>
            <w:proofErr w:type="spellStart"/>
            <w:r w:rsidRPr="00DB4BA7">
              <w:rPr>
                <w:rFonts w:ascii="Calibri" w:hAnsi="Calibri" w:cs="Calibri"/>
                <w:szCs w:val="20"/>
              </w:rPr>
              <w:t>Fast_Food_Restaurant</w:t>
            </w:r>
            <w:proofErr w:type="spellEnd"/>
          </w:p>
        </w:tc>
      </w:tr>
      <w:tr w:rsidR="00DB4BA7" w:rsidRPr="00DB4BA7" w14:paraId="70641F4A" w14:textId="77777777" w:rsidTr="00920905">
        <w:tc>
          <w:tcPr>
            <w:tcW w:w="1686" w:type="pct"/>
          </w:tcPr>
          <w:p w14:paraId="797C70B4" w14:textId="12F7BC67" w:rsidR="00DC06BF" w:rsidRPr="00DB4BA7" w:rsidRDefault="00DC06BF" w:rsidP="00893D10">
            <w:pPr>
              <w:rPr>
                <w:rFonts w:cstheme="minorHAnsi"/>
                <w:szCs w:val="20"/>
              </w:rPr>
            </w:pPr>
            <w:r w:rsidRPr="00DB4BA7">
              <w:rPr>
                <w:rFonts w:ascii="Calibri" w:hAnsi="Calibri" w:cs="Calibri"/>
                <w:szCs w:val="20"/>
              </w:rPr>
              <w:t>Restaurant - Sit-Down</w:t>
            </w:r>
          </w:p>
        </w:tc>
        <w:tc>
          <w:tcPr>
            <w:tcW w:w="1779" w:type="pct"/>
          </w:tcPr>
          <w:p w14:paraId="35FC9E94" w14:textId="2F57BDA6" w:rsidR="00DC06BF" w:rsidRPr="00DB4BA7" w:rsidRDefault="00DC06BF" w:rsidP="00893D10">
            <w:pPr>
              <w:rPr>
                <w:rFonts w:cstheme="minorHAnsi"/>
                <w:szCs w:val="20"/>
              </w:rPr>
            </w:pPr>
            <w:r w:rsidRPr="00DB4BA7">
              <w:rPr>
                <w:rFonts w:ascii="Calibri" w:hAnsi="Calibri" w:cs="Calibri"/>
                <w:szCs w:val="20"/>
              </w:rPr>
              <w:t>Refrigeration</w:t>
            </w:r>
          </w:p>
        </w:tc>
        <w:tc>
          <w:tcPr>
            <w:tcW w:w="1535" w:type="pct"/>
          </w:tcPr>
          <w:p w14:paraId="375C70E7" w14:textId="112473B9" w:rsidR="00DC06BF" w:rsidRPr="00DB4BA7" w:rsidRDefault="00DC06BF" w:rsidP="00893D10">
            <w:pPr>
              <w:rPr>
                <w:rFonts w:cstheme="minorHAnsi"/>
                <w:szCs w:val="20"/>
              </w:rPr>
            </w:pPr>
            <w:proofErr w:type="spellStart"/>
            <w:r w:rsidRPr="00DB4BA7">
              <w:rPr>
                <w:rFonts w:ascii="Calibri" w:hAnsi="Calibri" w:cs="Calibri"/>
                <w:szCs w:val="20"/>
              </w:rPr>
              <w:t>Sit_Down_Restaurant</w:t>
            </w:r>
            <w:proofErr w:type="spellEnd"/>
          </w:p>
        </w:tc>
      </w:tr>
      <w:tr w:rsidR="00DB4BA7" w:rsidRPr="00DB4BA7" w14:paraId="389F2B47" w14:textId="77777777" w:rsidTr="00920905">
        <w:tc>
          <w:tcPr>
            <w:tcW w:w="1686" w:type="pct"/>
          </w:tcPr>
          <w:p w14:paraId="4C113DC3" w14:textId="54D81F78" w:rsidR="00DC06BF" w:rsidRPr="00DB4BA7" w:rsidRDefault="00DC06BF" w:rsidP="00893D10">
            <w:pPr>
              <w:rPr>
                <w:rFonts w:cstheme="minorHAnsi"/>
                <w:szCs w:val="20"/>
              </w:rPr>
            </w:pPr>
            <w:r w:rsidRPr="00DB4BA7">
              <w:rPr>
                <w:rFonts w:ascii="Calibri" w:hAnsi="Calibri" w:cs="Calibri"/>
                <w:szCs w:val="20"/>
              </w:rPr>
              <w:t>Retail - Multistory Large</w:t>
            </w:r>
          </w:p>
        </w:tc>
        <w:tc>
          <w:tcPr>
            <w:tcW w:w="1779" w:type="pct"/>
          </w:tcPr>
          <w:p w14:paraId="4C7B40A0" w14:textId="58ACF309" w:rsidR="00DC06BF" w:rsidRPr="00DB4BA7" w:rsidRDefault="00DC06BF" w:rsidP="00893D10">
            <w:pPr>
              <w:rPr>
                <w:rFonts w:cstheme="minorHAnsi"/>
                <w:szCs w:val="20"/>
              </w:rPr>
            </w:pPr>
            <w:r w:rsidRPr="00DB4BA7">
              <w:rPr>
                <w:rFonts w:ascii="Calibri" w:hAnsi="Calibri" w:cs="Calibri"/>
                <w:szCs w:val="20"/>
              </w:rPr>
              <w:t>Refrigeration</w:t>
            </w:r>
          </w:p>
        </w:tc>
        <w:tc>
          <w:tcPr>
            <w:tcW w:w="1535" w:type="pct"/>
          </w:tcPr>
          <w:p w14:paraId="2F6B0B59" w14:textId="3E7838B4" w:rsidR="00DC06BF" w:rsidRPr="00DB4BA7" w:rsidRDefault="00DC06BF" w:rsidP="00893D10">
            <w:pPr>
              <w:rPr>
                <w:rFonts w:cstheme="minorHAnsi"/>
                <w:szCs w:val="20"/>
              </w:rPr>
            </w:pPr>
            <w:proofErr w:type="spellStart"/>
            <w:r w:rsidRPr="00DB4BA7">
              <w:rPr>
                <w:rFonts w:ascii="Calibri" w:hAnsi="Calibri" w:cs="Calibri"/>
                <w:szCs w:val="20"/>
              </w:rPr>
              <w:t>Large_Retail_Store</w:t>
            </w:r>
            <w:proofErr w:type="spellEnd"/>
          </w:p>
        </w:tc>
      </w:tr>
      <w:tr w:rsidR="00DB4BA7" w:rsidRPr="00DB4BA7" w14:paraId="2918C66F" w14:textId="77777777" w:rsidTr="00920905">
        <w:tc>
          <w:tcPr>
            <w:tcW w:w="1686" w:type="pct"/>
          </w:tcPr>
          <w:p w14:paraId="4D4C0361" w14:textId="2EEB8525" w:rsidR="00DC06BF" w:rsidRPr="00DB4BA7" w:rsidRDefault="00DC06BF" w:rsidP="00893D10">
            <w:pPr>
              <w:rPr>
                <w:rFonts w:cstheme="minorHAnsi"/>
                <w:szCs w:val="20"/>
              </w:rPr>
            </w:pPr>
            <w:r w:rsidRPr="00DB4BA7">
              <w:rPr>
                <w:rFonts w:ascii="Calibri" w:hAnsi="Calibri" w:cs="Calibri"/>
                <w:szCs w:val="20"/>
              </w:rPr>
              <w:t>Retail - Single-Story Large</w:t>
            </w:r>
          </w:p>
        </w:tc>
        <w:tc>
          <w:tcPr>
            <w:tcW w:w="1779" w:type="pct"/>
          </w:tcPr>
          <w:p w14:paraId="782A901A" w14:textId="1C9C13F4" w:rsidR="00DC06BF" w:rsidRPr="00DB4BA7" w:rsidRDefault="00DC06BF" w:rsidP="00893D10">
            <w:pPr>
              <w:rPr>
                <w:rFonts w:cstheme="minorHAnsi"/>
                <w:szCs w:val="20"/>
              </w:rPr>
            </w:pPr>
            <w:r w:rsidRPr="00DB4BA7">
              <w:rPr>
                <w:rFonts w:ascii="Calibri" w:hAnsi="Calibri" w:cs="Calibri"/>
                <w:szCs w:val="20"/>
              </w:rPr>
              <w:t>Refrigeration</w:t>
            </w:r>
          </w:p>
        </w:tc>
        <w:tc>
          <w:tcPr>
            <w:tcW w:w="1535" w:type="pct"/>
          </w:tcPr>
          <w:p w14:paraId="13E73CEB" w14:textId="25242995" w:rsidR="00DC06BF" w:rsidRPr="00DB4BA7" w:rsidRDefault="00DC06BF" w:rsidP="00893D10">
            <w:pPr>
              <w:rPr>
                <w:rFonts w:cstheme="minorHAnsi"/>
                <w:szCs w:val="20"/>
              </w:rPr>
            </w:pPr>
            <w:proofErr w:type="spellStart"/>
            <w:r w:rsidRPr="00DB4BA7">
              <w:rPr>
                <w:rFonts w:ascii="Calibri" w:hAnsi="Calibri" w:cs="Calibri"/>
                <w:szCs w:val="20"/>
              </w:rPr>
              <w:t>Large_Retail_Store</w:t>
            </w:r>
            <w:proofErr w:type="spellEnd"/>
          </w:p>
        </w:tc>
      </w:tr>
      <w:tr w:rsidR="00DB4BA7" w:rsidRPr="00DB4BA7" w14:paraId="48A1424E" w14:textId="77777777" w:rsidTr="00920905">
        <w:tc>
          <w:tcPr>
            <w:tcW w:w="1686" w:type="pct"/>
          </w:tcPr>
          <w:p w14:paraId="6A863AFD" w14:textId="3EE526F1" w:rsidR="00DC06BF" w:rsidRPr="00DB4BA7" w:rsidRDefault="00DC06BF" w:rsidP="00893D10">
            <w:pPr>
              <w:rPr>
                <w:rFonts w:ascii="Calibri" w:hAnsi="Calibri" w:cs="Calibri"/>
                <w:szCs w:val="20"/>
              </w:rPr>
            </w:pPr>
            <w:r w:rsidRPr="00DB4BA7">
              <w:rPr>
                <w:rFonts w:ascii="Calibri" w:hAnsi="Calibri" w:cs="Calibri"/>
                <w:szCs w:val="20"/>
              </w:rPr>
              <w:t>Retail – Small</w:t>
            </w:r>
          </w:p>
        </w:tc>
        <w:tc>
          <w:tcPr>
            <w:tcW w:w="1779" w:type="pct"/>
          </w:tcPr>
          <w:p w14:paraId="3A91E928" w14:textId="7813CA8F" w:rsidR="00DC06BF" w:rsidRPr="00DB4BA7" w:rsidRDefault="00DC06BF" w:rsidP="00893D10">
            <w:pPr>
              <w:rPr>
                <w:rFonts w:ascii="Calibri" w:hAnsi="Calibri" w:cs="Calibri"/>
                <w:szCs w:val="20"/>
              </w:rPr>
            </w:pPr>
            <w:r w:rsidRPr="00DB4BA7">
              <w:rPr>
                <w:rFonts w:ascii="Calibri" w:hAnsi="Calibri" w:cs="Calibri"/>
                <w:szCs w:val="20"/>
              </w:rPr>
              <w:t>Refrigeration</w:t>
            </w:r>
          </w:p>
        </w:tc>
        <w:tc>
          <w:tcPr>
            <w:tcW w:w="1535" w:type="pct"/>
          </w:tcPr>
          <w:p w14:paraId="0AAA76EE" w14:textId="775C0AF3" w:rsidR="00DC06BF" w:rsidRPr="00DB4BA7" w:rsidRDefault="00DC06BF" w:rsidP="00893D10">
            <w:pPr>
              <w:rPr>
                <w:rFonts w:ascii="Calibri" w:hAnsi="Calibri" w:cs="Calibri"/>
                <w:szCs w:val="20"/>
              </w:rPr>
            </w:pPr>
            <w:proofErr w:type="spellStart"/>
            <w:r w:rsidRPr="00DB4BA7">
              <w:rPr>
                <w:rFonts w:ascii="Calibri" w:hAnsi="Calibri" w:cs="Calibri"/>
                <w:szCs w:val="20"/>
              </w:rPr>
              <w:t>Small_Retail_Store</w:t>
            </w:r>
            <w:proofErr w:type="spellEnd"/>
          </w:p>
        </w:tc>
      </w:tr>
    </w:tbl>
    <w:p w14:paraId="52C9214C" w14:textId="49840D8E" w:rsidR="005552C3" w:rsidRDefault="00F95E2F" w:rsidP="00920905">
      <w:pPr>
        <w:pStyle w:val="Heading1"/>
      </w:pPr>
      <w:proofErr w:type="gramStart"/>
      <w:r>
        <w:lastRenderedPageBreak/>
        <w:t>Section 4.</w:t>
      </w:r>
      <w:proofErr w:type="gramEnd"/>
      <w:r>
        <w:t xml:space="preserve"> Costs</w:t>
      </w:r>
    </w:p>
    <w:p w14:paraId="128FF1CE" w14:textId="73EBC4A0" w:rsidR="00BF3F94" w:rsidRPr="00552B07" w:rsidRDefault="00BF3F94" w:rsidP="00BF3F94">
      <w:pPr>
        <w:rPr>
          <w:rFonts w:cstheme="minorHAnsi"/>
          <w:szCs w:val="22"/>
        </w:rPr>
      </w:pPr>
      <w:bookmarkStart w:id="18" w:name="_MON_1399297811"/>
      <w:bookmarkStart w:id="19" w:name="_Toc214003097"/>
      <w:bookmarkEnd w:id="18"/>
      <w:r w:rsidRPr="00552B07">
        <w:rPr>
          <w:rFonts w:cstheme="minorHAnsi"/>
          <w:szCs w:val="22"/>
        </w:rPr>
        <w:t>Values and methodologies are taken from the 2010-2012 WO017 Ex Ante Measure Cost Study Final Report (WO017) [</w:t>
      </w:r>
      <w:r w:rsidR="007A1C73" w:rsidRPr="00552B07">
        <w:rPr>
          <w:rFonts w:cstheme="minorHAnsi"/>
          <w:szCs w:val="22"/>
        </w:rPr>
        <w:t>475</w:t>
      </w:r>
      <w:r w:rsidRPr="00552B07">
        <w:rPr>
          <w:rFonts w:cstheme="minorHAnsi"/>
          <w:szCs w:val="22"/>
        </w:rPr>
        <w:t xml:space="preserve">] prepared by </w:t>
      </w:r>
      <w:proofErr w:type="spellStart"/>
      <w:r w:rsidRPr="00552B07">
        <w:rPr>
          <w:rFonts w:cstheme="minorHAnsi"/>
          <w:szCs w:val="22"/>
        </w:rPr>
        <w:t>Itron</w:t>
      </w:r>
      <w:proofErr w:type="spellEnd"/>
      <w:r w:rsidRPr="00552B07">
        <w:rPr>
          <w:rFonts w:cstheme="minorHAnsi"/>
          <w:szCs w:val="22"/>
        </w:rPr>
        <w:t xml:space="preserve"> for the California Public Utilities Commission. </w:t>
      </w:r>
    </w:p>
    <w:p w14:paraId="373C3A24" w14:textId="77777777" w:rsidR="00BF3F94" w:rsidRPr="00552B07" w:rsidRDefault="00BF3F94" w:rsidP="00BF3F94">
      <w:pPr>
        <w:pStyle w:val="Heading2"/>
        <w:rPr>
          <w:rFonts w:asciiTheme="minorHAnsi" w:hAnsiTheme="minorHAnsi" w:cstheme="minorHAnsi"/>
        </w:rPr>
      </w:pPr>
      <w:r w:rsidRPr="00552B07">
        <w:rPr>
          <w:rFonts w:asciiTheme="minorHAnsi" w:hAnsiTheme="minorHAnsi" w:cstheme="minorHAnsi"/>
        </w:rPr>
        <w:t>4.1 Base Case Cost</w:t>
      </w:r>
    </w:p>
    <w:p w14:paraId="1C8F3A71" w14:textId="77777777" w:rsidR="00BF3F94" w:rsidRPr="00552B07" w:rsidRDefault="00BF3F94" w:rsidP="00BF3F94">
      <w:pPr>
        <w:pStyle w:val="Caption"/>
        <w:rPr>
          <w:rFonts w:cstheme="minorHAnsi"/>
          <w:b w:val="0"/>
          <w:bCs w:val="0"/>
          <w:szCs w:val="22"/>
        </w:rPr>
      </w:pPr>
      <w:r w:rsidRPr="00552B07">
        <w:rPr>
          <w:rFonts w:cstheme="minorHAnsi"/>
          <w:b w:val="0"/>
          <w:bCs w:val="0"/>
          <w:szCs w:val="22"/>
        </w:rPr>
        <w:t>For this measure category, the base case cost is assumed to be zero because these are discretionary modifications (retrofit add-on) to the customers’ existing equipment.  Their alternative is to make no changes to their existing system.</w:t>
      </w:r>
    </w:p>
    <w:p w14:paraId="3DC1BFD7" w14:textId="77777777" w:rsidR="00BF3F94" w:rsidRPr="00552B07" w:rsidRDefault="00BF3F94" w:rsidP="00BF3F94">
      <w:pPr>
        <w:pStyle w:val="Heading2"/>
        <w:rPr>
          <w:rFonts w:asciiTheme="minorHAnsi" w:hAnsiTheme="minorHAnsi" w:cstheme="minorHAnsi"/>
        </w:rPr>
      </w:pPr>
      <w:r w:rsidRPr="00552B07">
        <w:rPr>
          <w:rFonts w:asciiTheme="minorHAnsi" w:hAnsiTheme="minorHAnsi" w:cstheme="minorHAnsi"/>
        </w:rPr>
        <w:t>4.2 Measure Case Cost</w:t>
      </w:r>
    </w:p>
    <w:p w14:paraId="411938B0" w14:textId="0D70765C" w:rsidR="0023491C" w:rsidRPr="00552B07" w:rsidRDefault="00BF3F94" w:rsidP="00FE0C17">
      <w:pPr>
        <w:rPr>
          <w:rFonts w:cstheme="minorHAnsi"/>
          <w:szCs w:val="22"/>
        </w:rPr>
      </w:pPr>
      <w:r w:rsidRPr="00552B07">
        <w:rPr>
          <w:rFonts w:cstheme="minorHAnsi"/>
          <w:szCs w:val="22"/>
        </w:rPr>
        <w:t>The measure case costs were taken from WO017, Measure 1 of Appendix C. WO017 evaluated the costs of auto-closers in two subdivisions based on door sizes</w:t>
      </w:r>
      <w:r w:rsidR="0023491C" w:rsidRPr="00552B07">
        <w:rPr>
          <w:rFonts w:cstheme="minorHAnsi"/>
          <w:szCs w:val="22"/>
        </w:rPr>
        <w:t xml:space="preserve"> of &lt;42” wide and &gt;42” wide</w:t>
      </w:r>
      <w:r w:rsidRPr="00552B07">
        <w:rPr>
          <w:rFonts w:cstheme="minorHAnsi"/>
          <w:szCs w:val="22"/>
        </w:rPr>
        <w:t xml:space="preserve">. </w:t>
      </w:r>
      <w:r w:rsidR="005D33E0" w:rsidRPr="00552B07">
        <w:rPr>
          <w:rFonts w:cstheme="minorHAnsi"/>
          <w:szCs w:val="22"/>
        </w:rPr>
        <w:t xml:space="preserve"> Based on information provided by manufacturers, the </w:t>
      </w:r>
      <w:r w:rsidR="00FE0C17" w:rsidRPr="00552B07">
        <w:rPr>
          <w:rFonts w:cstheme="minorHAnsi"/>
          <w:szCs w:val="22"/>
        </w:rPr>
        <w:t xml:space="preserve">analysis assumed that the measure cost would be for the field-installation of a </w:t>
      </w:r>
      <w:r w:rsidR="00FE0C17" w:rsidRPr="00552B07">
        <w:rPr>
          <w:rFonts w:cstheme="minorHAnsi"/>
          <w:i/>
          <w:szCs w:val="22"/>
        </w:rPr>
        <w:t>snubber-style door clos</w:t>
      </w:r>
      <w:r w:rsidR="007516BB" w:rsidRPr="00552B07">
        <w:rPr>
          <w:rFonts w:cstheme="minorHAnsi"/>
          <w:i/>
          <w:szCs w:val="22"/>
        </w:rPr>
        <w:t>er</w:t>
      </w:r>
      <w:r w:rsidR="007516BB" w:rsidRPr="00552B07">
        <w:rPr>
          <w:rFonts w:cstheme="minorHAnsi"/>
          <w:szCs w:val="22"/>
        </w:rPr>
        <w:t xml:space="preserve"> for doors less than 42” wide, and it assumed that the measure cost would be for the field-installation of a </w:t>
      </w:r>
      <w:r w:rsidR="007516BB" w:rsidRPr="00552B07">
        <w:rPr>
          <w:rFonts w:cstheme="minorHAnsi"/>
          <w:i/>
          <w:szCs w:val="22"/>
        </w:rPr>
        <w:t>hydraulic armature-style door closer</w:t>
      </w:r>
      <w:r w:rsidR="007516BB" w:rsidRPr="00552B07">
        <w:rPr>
          <w:rFonts w:cstheme="minorHAnsi"/>
          <w:szCs w:val="22"/>
        </w:rPr>
        <w:t xml:space="preserve"> specifically manufactured for a 60” wide door.</w:t>
      </w:r>
      <w:r w:rsidR="007516BB" w:rsidRPr="00552B07">
        <w:t xml:space="preserve"> Refer to </w:t>
      </w:r>
      <w:r w:rsidR="007516BB" w:rsidRPr="00552B07">
        <w:rPr>
          <w:rFonts w:cstheme="minorHAnsi"/>
          <w:szCs w:val="22"/>
        </w:rPr>
        <w:t xml:space="preserve">WO017 for detailed descriptions of </w:t>
      </w:r>
      <w:r w:rsidR="00956572" w:rsidRPr="00552B07">
        <w:rPr>
          <w:rFonts w:cstheme="minorHAnsi"/>
          <w:szCs w:val="22"/>
        </w:rPr>
        <w:t xml:space="preserve">the </w:t>
      </w:r>
      <w:r w:rsidR="007516BB" w:rsidRPr="00552B07">
        <w:rPr>
          <w:rFonts w:cstheme="minorHAnsi"/>
          <w:szCs w:val="22"/>
        </w:rPr>
        <w:t xml:space="preserve">cost basis. </w:t>
      </w:r>
    </w:p>
    <w:p w14:paraId="0C5B63B5" w14:textId="77777777" w:rsidR="00FE0C17" w:rsidRPr="00552B07" w:rsidRDefault="00FE0C17" w:rsidP="00FE0C17">
      <w:pPr>
        <w:rPr>
          <w:rFonts w:cstheme="minorHAnsi"/>
          <w:szCs w:val="22"/>
        </w:rPr>
      </w:pPr>
    </w:p>
    <w:p w14:paraId="2E796923" w14:textId="1E24E3A6" w:rsidR="00956572" w:rsidRPr="00552B07" w:rsidRDefault="00956572" w:rsidP="00FE0C17">
      <w:pPr>
        <w:rPr>
          <w:rFonts w:cstheme="minorHAnsi"/>
          <w:szCs w:val="22"/>
        </w:rPr>
      </w:pPr>
      <w:r w:rsidRPr="00552B07">
        <w:rPr>
          <w:rFonts w:cstheme="minorHAnsi"/>
          <w:szCs w:val="22"/>
        </w:rPr>
        <w:t>The material and labor costs from WO017 for installing auto-closers on main cooler/freezer doors are extracted and shown in table below</w:t>
      </w:r>
      <w:r w:rsidR="005C34D1" w:rsidRPr="00552B07">
        <w:rPr>
          <w:rFonts w:cstheme="minorHAnsi"/>
          <w:szCs w:val="22"/>
        </w:rPr>
        <w:t xml:space="preserve">. On average, the material cost is $536.43 per door and the installation labor cost is $105.57 per door. Hence, the total measure cost = $536.43 (material) + $105.57 (labor) = $642.00 </w:t>
      </w:r>
      <w:r w:rsidR="000F49D0" w:rsidRPr="00552B07">
        <w:rPr>
          <w:rFonts w:cstheme="minorHAnsi"/>
          <w:szCs w:val="22"/>
        </w:rPr>
        <w:t>per door</w:t>
      </w:r>
      <w:r w:rsidR="005C34D1" w:rsidRPr="00552B07">
        <w:rPr>
          <w:rFonts w:cstheme="minorHAnsi"/>
          <w:szCs w:val="22"/>
        </w:rPr>
        <w:t>.</w:t>
      </w:r>
    </w:p>
    <w:p w14:paraId="4D8A2475" w14:textId="77777777" w:rsidR="0017054F" w:rsidRPr="00552B07" w:rsidRDefault="0017054F" w:rsidP="00FE0C17">
      <w:pPr>
        <w:rPr>
          <w:rFonts w:cstheme="minorHAnsi"/>
          <w:szCs w:val="22"/>
        </w:rPr>
      </w:pPr>
    </w:p>
    <w:p w14:paraId="0DEDA958" w14:textId="4814A4AA" w:rsidR="0023491C" w:rsidRPr="00552B07" w:rsidRDefault="0023491C" w:rsidP="00BF3F94">
      <w:pPr>
        <w:rPr>
          <w:rFonts w:cstheme="minorHAnsi"/>
          <w:szCs w:val="22"/>
        </w:rPr>
      </w:pPr>
      <w:r w:rsidRPr="00552B07">
        <w:rPr>
          <w:rFonts w:cstheme="minorHAnsi"/>
          <w:noProof/>
          <w:szCs w:val="22"/>
        </w:rPr>
        <w:drawing>
          <wp:inline distT="0" distB="0" distL="0" distR="0" wp14:anchorId="07330CBB" wp14:editId="277ED741">
            <wp:extent cx="5934075" cy="1190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1190625"/>
                    </a:xfrm>
                    <a:prstGeom prst="rect">
                      <a:avLst/>
                    </a:prstGeom>
                    <a:noFill/>
                    <a:ln>
                      <a:noFill/>
                    </a:ln>
                  </pic:spPr>
                </pic:pic>
              </a:graphicData>
            </a:graphic>
          </wp:inline>
        </w:drawing>
      </w:r>
    </w:p>
    <w:p w14:paraId="3019FD96" w14:textId="36E31155" w:rsidR="00956572" w:rsidRPr="00552B07" w:rsidRDefault="00956572" w:rsidP="00691472">
      <w:pPr>
        <w:rPr>
          <w:rFonts w:cstheme="minorHAnsi"/>
          <w:sz w:val="20"/>
          <w:szCs w:val="20"/>
        </w:rPr>
      </w:pPr>
      <w:r w:rsidRPr="00552B07">
        <w:rPr>
          <w:rFonts w:cstheme="minorHAnsi"/>
          <w:sz w:val="20"/>
          <w:szCs w:val="20"/>
        </w:rPr>
        <w:t>Source: WO017</w:t>
      </w:r>
      <w:r w:rsidR="007A1C73" w:rsidRPr="00552B07">
        <w:rPr>
          <w:rFonts w:cstheme="minorHAnsi"/>
          <w:sz w:val="20"/>
          <w:szCs w:val="20"/>
        </w:rPr>
        <w:t xml:space="preserve"> [475]</w:t>
      </w:r>
    </w:p>
    <w:p w14:paraId="70222474" w14:textId="77777777" w:rsidR="00956572" w:rsidRPr="00552B07" w:rsidRDefault="00956572" w:rsidP="00691472">
      <w:pPr>
        <w:rPr>
          <w:rFonts w:cstheme="minorHAnsi"/>
          <w:szCs w:val="22"/>
        </w:rPr>
      </w:pPr>
    </w:p>
    <w:p w14:paraId="68DD627C" w14:textId="57F86560" w:rsidR="00956572" w:rsidRPr="00552B07" w:rsidRDefault="00F66840" w:rsidP="00691472">
      <w:pPr>
        <w:rPr>
          <w:rFonts w:cstheme="minorHAnsi"/>
          <w:szCs w:val="22"/>
        </w:rPr>
      </w:pPr>
      <w:r w:rsidRPr="00552B07">
        <w:rPr>
          <w:rFonts w:cstheme="minorHAnsi"/>
          <w:b/>
          <w:i/>
          <w:szCs w:val="22"/>
        </w:rPr>
        <w:t>Note</w:t>
      </w:r>
      <w:r w:rsidRPr="00552B07">
        <w:rPr>
          <w:rFonts w:cstheme="minorHAnsi"/>
          <w:szCs w:val="22"/>
        </w:rPr>
        <w:t>: During a Cal-TF meeting [B], a</w:t>
      </w:r>
      <w:r w:rsidR="00691472" w:rsidRPr="00552B07">
        <w:rPr>
          <w:rFonts w:cstheme="minorHAnsi"/>
          <w:szCs w:val="22"/>
        </w:rPr>
        <w:t xml:space="preserve"> weighted average approach </w:t>
      </w:r>
      <w:r w:rsidRPr="00552B07">
        <w:rPr>
          <w:rFonts w:cstheme="minorHAnsi"/>
          <w:szCs w:val="22"/>
        </w:rPr>
        <w:t>based on the WO017 costs of two door sizes and market data from a walk-in supplier was evaluated. As a result, the cost calculated by the weighted average approach is the same as the average WO017 cost. Therefore, the average WO017 cost utilized in this work paper is considered to be appropriate</w:t>
      </w:r>
      <w:r w:rsidR="00691472" w:rsidRPr="00552B07">
        <w:rPr>
          <w:rFonts w:cstheme="minorHAnsi"/>
          <w:szCs w:val="22"/>
        </w:rPr>
        <w:t xml:space="preserve">. </w:t>
      </w:r>
    </w:p>
    <w:p w14:paraId="34746B5C" w14:textId="77777777" w:rsidR="00BF3F94" w:rsidRPr="00552B07" w:rsidRDefault="00BF3F94" w:rsidP="00BF3F94">
      <w:pPr>
        <w:pStyle w:val="Heading2"/>
        <w:keepNext w:val="0"/>
        <w:rPr>
          <w:rFonts w:asciiTheme="minorHAnsi" w:hAnsiTheme="minorHAnsi" w:cstheme="minorHAnsi"/>
        </w:rPr>
      </w:pPr>
      <w:r w:rsidRPr="00552B07">
        <w:rPr>
          <w:rFonts w:asciiTheme="minorHAnsi" w:hAnsiTheme="minorHAnsi" w:cstheme="minorHAnsi"/>
        </w:rPr>
        <w:t>4.3 Full and Incremental Measure Cost</w:t>
      </w:r>
    </w:p>
    <w:p w14:paraId="714788DA" w14:textId="77777777" w:rsidR="00BF3F94" w:rsidRPr="00552B07" w:rsidRDefault="00BF3F94" w:rsidP="00BF3F94"/>
    <w:p w14:paraId="1C053FA4" w14:textId="77777777" w:rsidR="00BF3F94" w:rsidRPr="00552B07" w:rsidRDefault="00BF3F94" w:rsidP="00BF3F94">
      <w:pPr>
        <w:pStyle w:val="Caption"/>
      </w:pPr>
      <w:r w:rsidRPr="00552B07">
        <w:t>Full and Incremental Measure Cost Equations</w:t>
      </w:r>
    </w:p>
    <w:tbl>
      <w:tblPr>
        <w:tblStyle w:val="TableContemporary"/>
        <w:tblW w:w="5000" w:type="pct"/>
        <w:tblLook w:val="01E0" w:firstRow="1" w:lastRow="1" w:firstColumn="1" w:lastColumn="1" w:noHBand="0" w:noVBand="0"/>
      </w:tblPr>
      <w:tblGrid>
        <w:gridCol w:w="1286"/>
        <w:gridCol w:w="2764"/>
        <w:gridCol w:w="2674"/>
        <w:gridCol w:w="2852"/>
      </w:tblGrid>
      <w:tr w:rsidR="00BF3F94" w:rsidRPr="00552B07" w14:paraId="368820F2" w14:textId="77777777" w:rsidTr="00BF3F94">
        <w:trPr>
          <w:cnfStyle w:val="100000000000" w:firstRow="1" w:lastRow="0" w:firstColumn="0" w:lastColumn="0" w:oddVBand="0" w:evenVBand="0" w:oddHBand="0" w:evenHBand="0" w:firstRowFirstColumn="0" w:firstRowLastColumn="0" w:lastRowFirstColumn="0" w:lastRowLastColumn="0"/>
        </w:trPr>
        <w:tc>
          <w:tcPr>
            <w:tcW w:w="671" w:type="pct"/>
            <w:vMerge w:val="restart"/>
          </w:tcPr>
          <w:p w14:paraId="7956B101" w14:textId="77777777" w:rsidR="00BF3F94" w:rsidRPr="00552B07" w:rsidRDefault="00BF3F94" w:rsidP="007C3C2A">
            <w:pPr>
              <w:rPr>
                <w:rFonts w:asciiTheme="minorHAnsi" w:hAnsiTheme="minorHAnsi" w:cstheme="minorHAnsi"/>
                <w:b w:val="0"/>
                <w:szCs w:val="20"/>
              </w:rPr>
            </w:pPr>
            <w:r w:rsidRPr="00552B07">
              <w:rPr>
                <w:rFonts w:asciiTheme="minorHAnsi" w:hAnsiTheme="minorHAnsi" w:cstheme="minorHAnsi"/>
                <w:szCs w:val="20"/>
              </w:rPr>
              <w:t>Installation Type</w:t>
            </w:r>
          </w:p>
        </w:tc>
        <w:tc>
          <w:tcPr>
            <w:tcW w:w="1443" w:type="pct"/>
            <w:vMerge w:val="restart"/>
          </w:tcPr>
          <w:p w14:paraId="0DD1707F" w14:textId="77777777" w:rsidR="00BF3F94" w:rsidRPr="00552B07" w:rsidRDefault="00BF3F94" w:rsidP="007C3C2A">
            <w:pPr>
              <w:rPr>
                <w:rFonts w:asciiTheme="minorHAnsi" w:hAnsiTheme="minorHAnsi" w:cstheme="minorHAnsi"/>
                <w:b w:val="0"/>
                <w:szCs w:val="20"/>
              </w:rPr>
            </w:pPr>
            <w:r w:rsidRPr="00552B07">
              <w:rPr>
                <w:rFonts w:asciiTheme="minorHAnsi" w:hAnsiTheme="minorHAnsi" w:cstheme="minorHAnsi"/>
                <w:szCs w:val="20"/>
              </w:rPr>
              <w:t>Incremental Measure Cost</w:t>
            </w:r>
          </w:p>
        </w:tc>
        <w:tc>
          <w:tcPr>
            <w:tcW w:w="2885" w:type="pct"/>
            <w:gridSpan w:val="2"/>
          </w:tcPr>
          <w:p w14:paraId="36D578CD" w14:textId="77777777" w:rsidR="00BF3F94" w:rsidRPr="00552B07" w:rsidRDefault="00BF3F94" w:rsidP="007C3C2A">
            <w:pPr>
              <w:rPr>
                <w:rFonts w:asciiTheme="minorHAnsi" w:hAnsiTheme="minorHAnsi" w:cstheme="minorHAnsi"/>
                <w:b w:val="0"/>
                <w:szCs w:val="20"/>
              </w:rPr>
            </w:pPr>
            <w:r w:rsidRPr="00552B07">
              <w:rPr>
                <w:rFonts w:asciiTheme="minorHAnsi" w:hAnsiTheme="minorHAnsi" w:cstheme="minorHAnsi"/>
                <w:szCs w:val="20"/>
              </w:rPr>
              <w:t>Full Measure Cost</w:t>
            </w:r>
          </w:p>
        </w:tc>
      </w:tr>
      <w:tr w:rsidR="00BF3F94" w:rsidRPr="00552B07" w14:paraId="10F215A3" w14:textId="77777777" w:rsidTr="00BF3F94">
        <w:trPr>
          <w:cnfStyle w:val="000000100000" w:firstRow="0" w:lastRow="0" w:firstColumn="0" w:lastColumn="0" w:oddVBand="0" w:evenVBand="0" w:oddHBand="1" w:evenHBand="0" w:firstRowFirstColumn="0" w:firstRowLastColumn="0" w:lastRowFirstColumn="0" w:lastRowLastColumn="0"/>
        </w:trPr>
        <w:tc>
          <w:tcPr>
            <w:tcW w:w="671" w:type="pct"/>
            <w:vMerge/>
          </w:tcPr>
          <w:p w14:paraId="1F64C0E7" w14:textId="77777777" w:rsidR="00BF3F94" w:rsidRPr="00552B07" w:rsidRDefault="00BF3F94" w:rsidP="007C3C2A">
            <w:pPr>
              <w:rPr>
                <w:rFonts w:asciiTheme="minorHAnsi" w:hAnsiTheme="minorHAnsi" w:cstheme="minorHAnsi"/>
                <w:b/>
                <w:szCs w:val="20"/>
              </w:rPr>
            </w:pPr>
          </w:p>
        </w:tc>
        <w:tc>
          <w:tcPr>
            <w:tcW w:w="1443" w:type="pct"/>
            <w:vMerge/>
          </w:tcPr>
          <w:p w14:paraId="7749215A" w14:textId="77777777" w:rsidR="00BF3F94" w:rsidRPr="00552B07" w:rsidRDefault="00BF3F94" w:rsidP="007C3C2A">
            <w:pPr>
              <w:rPr>
                <w:rFonts w:asciiTheme="minorHAnsi" w:hAnsiTheme="minorHAnsi" w:cstheme="minorHAnsi"/>
                <w:b/>
                <w:szCs w:val="20"/>
              </w:rPr>
            </w:pPr>
          </w:p>
        </w:tc>
        <w:tc>
          <w:tcPr>
            <w:tcW w:w="1396" w:type="pct"/>
            <w:shd w:val="clear" w:color="auto" w:fill="D9D9D9" w:themeFill="background1" w:themeFillShade="D9"/>
          </w:tcPr>
          <w:p w14:paraId="4B9165D1" w14:textId="77777777" w:rsidR="00BF3F94" w:rsidRPr="00552B07" w:rsidRDefault="00BF3F94" w:rsidP="007C3C2A">
            <w:pPr>
              <w:rPr>
                <w:rFonts w:asciiTheme="minorHAnsi" w:hAnsiTheme="minorHAnsi" w:cstheme="minorHAnsi"/>
                <w:b/>
                <w:szCs w:val="20"/>
              </w:rPr>
            </w:pPr>
            <w:r w:rsidRPr="00552B07">
              <w:rPr>
                <w:rFonts w:asciiTheme="minorHAnsi" w:hAnsiTheme="minorHAnsi" w:cstheme="minorHAnsi"/>
                <w:b/>
                <w:szCs w:val="20"/>
              </w:rPr>
              <w:t>1</w:t>
            </w:r>
            <w:r w:rsidRPr="00552B07">
              <w:rPr>
                <w:rFonts w:asciiTheme="minorHAnsi" w:hAnsiTheme="minorHAnsi" w:cstheme="minorHAnsi"/>
                <w:b/>
                <w:szCs w:val="20"/>
                <w:vertAlign w:val="superscript"/>
              </w:rPr>
              <w:t>st</w:t>
            </w:r>
            <w:r w:rsidRPr="00552B07">
              <w:rPr>
                <w:rFonts w:asciiTheme="minorHAnsi" w:hAnsiTheme="minorHAnsi" w:cstheme="minorHAnsi"/>
                <w:b/>
                <w:szCs w:val="20"/>
              </w:rPr>
              <w:t xml:space="preserve"> Baseline</w:t>
            </w:r>
          </w:p>
        </w:tc>
        <w:tc>
          <w:tcPr>
            <w:tcW w:w="1489" w:type="pct"/>
            <w:shd w:val="clear" w:color="auto" w:fill="D9D9D9" w:themeFill="background1" w:themeFillShade="D9"/>
          </w:tcPr>
          <w:p w14:paraId="23FBE0F6" w14:textId="77777777" w:rsidR="00BF3F94" w:rsidRPr="00552B07" w:rsidRDefault="00BF3F94" w:rsidP="007C3C2A">
            <w:pPr>
              <w:rPr>
                <w:rFonts w:asciiTheme="minorHAnsi" w:hAnsiTheme="minorHAnsi" w:cstheme="minorHAnsi"/>
                <w:b/>
                <w:szCs w:val="20"/>
              </w:rPr>
            </w:pPr>
            <w:r w:rsidRPr="00552B07">
              <w:rPr>
                <w:rFonts w:asciiTheme="minorHAnsi" w:hAnsiTheme="minorHAnsi" w:cstheme="minorHAnsi"/>
                <w:b/>
                <w:szCs w:val="20"/>
              </w:rPr>
              <w:t>2</w:t>
            </w:r>
            <w:r w:rsidRPr="00552B07">
              <w:rPr>
                <w:rFonts w:asciiTheme="minorHAnsi" w:hAnsiTheme="minorHAnsi" w:cstheme="minorHAnsi"/>
                <w:b/>
                <w:szCs w:val="20"/>
                <w:vertAlign w:val="superscript"/>
              </w:rPr>
              <w:t>nd</w:t>
            </w:r>
            <w:r w:rsidRPr="00552B07">
              <w:rPr>
                <w:rFonts w:asciiTheme="minorHAnsi" w:hAnsiTheme="minorHAnsi" w:cstheme="minorHAnsi"/>
                <w:b/>
                <w:szCs w:val="20"/>
              </w:rPr>
              <w:t xml:space="preserve"> Baseline</w:t>
            </w:r>
          </w:p>
        </w:tc>
      </w:tr>
      <w:tr w:rsidR="00BF3F94" w:rsidRPr="00552B07" w14:paraId="6D0EC4C9" w14:textId="77777777" w:rsidTr="00BF3F94">
        <w:trPr>
          <w:cnfStyle w:val="000000010000" w:firstRow="0" w:lastRow="0" w:firstColumn="0" w:lastColumn="0" w:oddVBand="0" w:evenVBand="0" w:oddHBand="0" w:evenHBand="1" w:firstRowFirstColumn="0" w:firstRowLastColumn="0" w:lastRowFirstColumn="0" w:lastRowLastColumn="0"/>
        </w:trPr>
        <w:tc>
          <w:tcPr>
            <w:tcW w:w="671" w:type="pct"/>
            <w:shd w:val="clear" w:color="auto" w:fill="F2F2F2" w:themeFill="background1" w:themeFillShade="F2"/>
          </w:tcPr>
          <w:p w14:paraId="78A33196" w14:textId="5F86DF5C" w:rsidR="00BF3F94" w:rsidRPr="00552B07" w:rsidRDefault="00A56921" w:rsidP="007C3C2A">
            <w:pPr>
              <w:rPr>
                <w:rFonts w:asciiTheme="minorHAnsi" w:hAnsiTheme="minorHAnsi" w:cstheme="minorHAnsi"/>
                <w:szCs w:val="20"/>
              </w:rPr>
            </w:pPr>
            <w:r>
              <w:rPr>
                <w:rFonts w:cs="Calibri"/>
                <w:color w:val="000000"/>
                <w:sz w:val="18"/>
                <w:szCs w:val="18"/>
              </w:rPr>
              <w:t>REA</w:t>
            </w:r>
          </w:p>
        </w:tc>
        <w:tc>
          <w:tcPr>
            <w:tcW w:w="1443" w:type="pct"/>
            <w:shd w:val="clear" w:color="auto" w:fill="F2F2F2" w:themeFill="background1" w:themeFillShade="F2"/>
          </w:tcPr>
          <w:p w14:paraId="27B230FE" w14:textId="77777777" w:rsidR="00BF3F94" w:rsidRPr="00552B07" w:rsidRDefault="00BF3F94" w:rsidP="007C3C2A">
            <w:pPr>
              <w:rPr>
                <w:rFonts w:asciiTheme="minorHAnsi" w:hAnsiTheme="minorHAnsi" w:cstheme="minorHAnsi"/>
                <w:szCs w:val="20"/>
              </w:rPr>
            </w:pPr>
            <w:r w:rsidRPr="00552B07">
              <w:rPr>
                <w:rFonts w:asciiTheme="minorHAnsi" w:hAnsiTheme="minorHAnsi" w:cstheme="minorHAnsi"/>
                <w:szCs w:val="20"/>
              </w:rPr>
              <w:t>MEC + MLC</w:t>
            </w:r>
          </w:p>
        </w:tc>
        <w:tc>
          <w:tcPr>
            <w:tcW w:w="1396" w:type="pct"/>
            <w:shd w:val="clear" w:color="auto" w:fill="F2F2F2" w:themeFill="background1" w:themeFillShade="F2"/>
          </w:tcPr>
          <w:p w14:paraId="7A0E5085" w14:textId="77777777" w:rsidR="00BF3F94" w:rsidRPr="00552B07" w:rsidRDefault="00BF3F94" w:rsidP="007C3C2A">
            <w:pPr>
              <w:rPr>
                <w:rFonts w:asciiTheme="minorHAnsi" w:hAnsiTheme="minorHAnsi" w:cstheme="minorHAnsi"/>
                <w:szCs w:val="20"/>
              </w:rPr>
            </w:pPr>
            <w:r w:rsidRPr="00552B07">
              <w:rPr>
                <w:rFonts w:asciiTheme="minorHAnsi" w:hAnsiTheme="minorHAnsi" w:cstheme="minorHAnsi"/>
                <w:szCs w:val="20"/>
              </w:rPr>
              <w:t>MEC + MLC</w:t>
            </w:r>
          </w:p>
        </w:tc>
        <w:tc>
          <w:tcPr>
            <w:tcW w:w="1489" w:type="pct"/>
            <w:shd w:val="clear" w:color="auto" w:fill="F2F2F2" w:themeFill="background1" w:themeFillShade="F2"/>
          </w:tcPr>
          <w:p w14:paraId="1233ECC4" w14:textId="77777777" w:rsidR="00BF3F94" w:rsidRPr="00552B07" w:rsidRDefault="00BF3F94" w:rsidP="007C3C2A">
            <w:pPr>
              <w:rPr>
                <w:rFonts w:asciiTheme="minorHAnsi" w:hAnsiTheme="minorHAnsi" w:cstheme="minorHAnsi"/>
                <w:szCs w:val="20"/>
              </w:rPr>
            </w:pPr>
            <w:r w:rsidRPr="00552B07">
              <w:rPr>
                <w:rFonts w:asciiTheme="minorHAnsi" w:hAnsiTheme="minorHAnsi" w:cstheme="minorHAnsi"/>
                <w:szCs w:val="20"/>
              </w:rPr>
              <w:t>N/A</w:t>
            </w:r>
          </w:p>
        </w:tc>
      </w:tr>
    </w:tbl>
    <w:p w14:paraId="6AA04BF4" w14:textId="77777777" w:rsidR="00BF3F94" w:rsidRPr="00552B07" w:rsidRDefault="00BF3F94" w:rsidP="00BF3F94">
      <w:pPr>
        <w:rPr>
          <w:rFonts w:cstheme="minorHAnsi"/>
          <w:sz w:val="20"/>
          <w:szCs w:val="20"/>
        </w:rPr>
      </w:pPr>
      <w:r w:rsidRPr="00552B07">
        <w:rPr>
          <w:rFonts w:cstheme="minorHAnsi"/>
          <w:sz w:val="20"/>
          <w:szCs w:val="20"/>
        </w:rPr>
        <w:t>MEC = Measure Equipment Cost; MLC = Measure Labor Cost</w:t>
      </w:r>
    </w:p>
    <w:p w14:paraId="228EB013" w14:textId="77777777" w:rsidR="00BF3F94" w:rsidRPr="00552B07" w:rsidRDefault="00BF3F94" w:rsidP="00BF3F94">
      <w:pPr>
        <w:rPr>
          <w:rFonts w:cstheme="minorHAnsi"/>
          <w:sz w:val="20"/>
          <w:szCs w:val="20"/>
        </w:rPr>
      </w:pPr>
      <w:r w:rsidRPr="00552B07">
        <w:rPr>
          <w:rFonts w:cstheme="minorHAnsi"/>
          <w:sz w:val="20"/>
          <w:szCs w:val="20"/>
        </w:rPr>
        <w:t>BEC = Base Case Equipment Cost; BLC = Base Case Labor Cost</w:t>
      </w:r>
    </w:p>
    <w:p w14:paraId="41FE9283" w14:textId="47A56B07" w:rsidR="00BF3F94" w:rsidRPr="00552B07" w:rsidRDefault="00BF3F94" w:rsidP="00BF3F94">
      <w:pPr>
        <w:pStyle w:val="Caption"/>
        <w:rPr>
          <w:b w:val="0"/>
        </w:rPr>
      </w:pPr>
      <w:r w:rsidRPr="00552B07">
        <w:lastRenderedPageBreak/>
        <w:t>Full and Incremental Costs</w:t>
      </w:r>
    </w:p>
    <w:tbl>
      <w:tblPr>
        <w:tblStyle w:val="TableContemporary"/>
        <w:tblW w:w="5040" w:type="pct"/>
        <w:tblLook w:val="01E0" w:firstRow="1" w:lastRow="1" w:firstColumn="1" w:lastColumn="1" w:noHBand="0" w:noVBand="0"/>
      </w:tblPr>
      <w:tblGrid>
        <w:gridCol w:w="2269"/>
        <w:gridCol w:w="1533"/>
        <w:gridCol w:w="2521"/>
        <w:gridCol w:w="1529"/>
        <w:gridCol w:w="1801"/>
      </w:tblGrid>
      <w:tr w:rsidR="00BF3F94" w:rsidRPr="00552B07" w14:paraId="73DA3A8B" w14:textId="77777777" w:rsidTr="007C3C2A">
        <w:trPr>
          <w:cnfStyle w:val="100000000000" w:firstRow="1" w:lastRow="0" w:firstColumn="0" w:lastColumn="0" w:oddVBand="0" w:evenVBand="0" w:oddHBand="0" w:evenHBand="0" w:firstRowFirstColumn="0" w:firstRowLastColumn="0" w:lastRowFirstColumn="0" w:lastRowLastColumn="0"/>
        </w:trPr>
        <w:tc>
          <w:tcPr>
            <w:tcW w:w="1175" w:type="pct"/>
            <w:vMerge w:val="restart"/>
          </w:tcPr>
          <w:p w14:paraId="0DFB34D9" w14:textId="77777777" w:rsidR="00BF3F94" w:rsidRPr="00552B07" w:rsidRDefault="00BF3F94" w:rsidP="007C3C2A">
            <w:pPr>
              <w:rPr>
                <w:rFonts w:asciiTheme="minorHAnsi" w:hAnsiTheme="minorHAnsi" w:cstheme="minorHAnsi"/>
                <w:b w:val="0"/>
                <w:szCs w:val="20"/>
              </w:rPr>
            </w:pPr>
            <w:r w:rsidRPr="00552B07">
              <w:rPr>
                <w:rFonts w:asciiTheme="minorHAnsi" w:hAnsiTheme="minorHAnsi" w:cstheme="minorHAnsi"/>
                <w:szCs w:val="20"/>
              </w:rPr>
              <w:t>Measure</w:t>
            </w:r>
          </w:p>
        </w:tc>
        <w:tc>
          <w:tcPr>
            <w:tcW w:w="794" w:type="pct"/>
            <w:vMerge w:val="restart"/>
          </w:tcPr>
          <w:p w14:paraId="79273196" w14:textId="77777777" w:rsidR="00BF3F94" w:rsidRPr="00552B07" w:rsidRDefault="00BF3F94" w:rsidP="007C3C2A">
            <w:pPr>
              <w:spacing w:after="200" w:line="276" w:lineRule="auto"/>
              <w:rPr>
                <w:rFonts w:asciiTheme="minorHAnsi" w:hAnsiTheme="minorHAnsi" w:cstheme="minorHAnsi"/>
                <w:b w:val="0"/>
                <w:szCs w:val="20"/>
              </w:rPr>
            </w:pPr>
            <w:r w:rsidRPr="00552B07">
              <w:rPr>
                <w:rFonts w:asciiTheme="minorHAnsi" w:hAnsiTheme="minorHAnsi" w:cstheme="minorHAnsi"/>
                <w:szCs w:val="20"/>
              </w:rPr>
              <w:t>Installation Type</w:t>
            </w:r>
          </w:p>
        </w:tc>
        <w:tc>
          <w:tcPr>
            <w:tcW w:w="1306" w:type="pct"/>
            <w:vMerge w:val="restart"/>
          </w:tcPr>
          <w:p w14:paraId="6FA62FA4" w14:textId="77777777" w:rsidR="00BF3F94" w:rsidRPr="00552B07" w:rsidRDefault="00BF3F94" w:rsidP="007C3C2A">
            <w:pPr>
              <w:rPr>
                <w:rFonts w:asciiTheme="minorHAnsi" w:hAnsiTheme="minorHAnsi" w:cstheme="minorHAnsi"/>
                <w:b w:val="0"/>
                <w:szCs w:val="20"/>
              </w:rPr>
            </w:pPr>
            <w:r w:rsidRPr="00552B07">
              <w:rPr>
                <w:rFonts w:asciiTheme="minorHAnsi" w:hAnsiTheme="minorHAnsi" w:cstheme="minorHAnsi"/>
                <w:szCs w:val="20"/>
              </w:rPr>
              <w:t>Incremental Measure Cost</w:t>
            </w:r>
          </w:p>
        </w:tc>
        <w:tc>
          <w:tcPr>
            <w:tcW w:w="1725" w:type="pct"/>
            <w:gridSpan w:val="2"/>
          </w:tcPr>
          <w:p w14:paraId="557E9300" w14:textId="77777777" w:rsidR="00BF3F94" w:rsidRPr="00552B07" w:rsidRDefault="00BF3F94" w:rsidP="007C3C2A">
            <w:pPr>
              <w:rPr>
                <w:rFonts w:asciiTheme="minorHAnsi" w:hAnsiTheme="minorHAnsi" w:cstheme="minorHAnsi"/>
                <w:b w:val="0"/>
                <w:szCs w:val="20"/>
              </w:rPr>
            </w:pPr>
            <w:r w:rsidRPr="00552B07">
              <w:rPr>
                <w:rFonts w:asciiTheme="minorHAnsi" w:hAnsiTheme="minorHAnsi" w:cstheme="minorHAnsi"/>
                <w:szCs w:val="20"/>
              </w:rPr>
              <w:t>Full Measure Cost</w:t>
            </w:r>
          </w:p>
        </w:tc>
      </w:tr>
      <w:tr w:rsidR="00BF3F94" w:rsidRPr="00552B07" w14:paraId="7EF7AF00" w14:textId="77777777" w:rsidTr="007C3C2A">
        <w:trPr>
          <w:cnfStyle w:val="000000100000" w:firstRow="0" w:lastRow="0" w:firstColumn="0" w:lastColumn="0" w:oddVBand="0" w:evenVBand="0" w:oddHBand="1" w:evenHBand="0" w:firstRowFirstColumn="0" w:firstRowLastColumn="0" w:lastRowFirstColumn="0" w:lastRowLastColumn="0"/>
        </w:trPr>
        <w:tc>
          <w:tcPr>
            <w:tcW w:w="1175" w:type="pct"/>
            <w:vMerge/>
          </w:tcPr>
          <w:p w14:paraId="1604D4A5" w14:textId="77777777" w:rsidR="00BF3F94" w:rsidRPr="00552B07" w:rsidRDefault="00BF3F94" w:rsidP="007C3C2A">
            <w:pPr>
              <w:rPr>
                <w:rFonts w:asciiTheme="minorHAnsi" w:hAnsiTheme="minorHAnsi" w:cstheme="minorHAnsi"/>
                <w:b/>
                <w:szCs w:val="20"/>
              </w:rPr>
            </w:pPr>
          </w:p>
        </w:tc>
        <w:tc>
          <w:tcPr>
            <w:tcW w:w="794" w:type="pct"/>
            <w:vMerge/>
          </w:tcPr>
          <w:p w14:paraId="525E7204" w14:textId="77777777" w:rsidR="00BF3F94" w:rsidRPr="00552B07" w:rsidRDefault="00BF3F94" w:rsidP="007C3C2A">
            <w:pPr>
              <w:rPr>
                <w:rFonts w:asciiTheme="minorHAnsi" w:hAnsiTheme="minorHAnsi" w:cstheme="minorHAnsi"/>
                <w:b/>
                <w:szCs w:val="20"/>
              </w:rPr>
            </w:pPr>
          </w:p>
        </w:tc>
        <w:tc>
          <w:tcPr>
            <w:tcW w:w="1306" w:type="pct"/>
            <w:vMerge/>
          </w:tcPr>
          <w:p w14:paraId="0C48E683" w14:textId="77777777" w:rsidR="00BF3F94" w:rsidRPr="00552B07" w:rsidRDefault="00BF3F94" w:rsidP="007C3C2A">
            <w:pPr>
              <w:rPr>
                <w:rFonts w:asciiTheme="minorHAnsi" w:hAnsiTheme="minorHAnsi" w:cstheme="minorHAnsi"/>
                <w:b/>
                <w:szCs w:val="20"/>
              </w:rPr>
            </w:pPr>
          </w:p>
        </w:tc>
        <w:tc>
          <w:tcPr>
            <w:tcW w:w="792" w:type="pct"/>
            <w:shd w:val="clear" w:color="auto" w:fill="D9D9D9" w:themeFill="background1" w:themeFillShade="D9"/>
          </w:tcPr>
          <w:p w14:paraId="63BFE802" w14:textId="77777777" w:rsidR="00BF3F94" w:rsidRPr="00552B07" w:rsidRDefault="00BF3F94" w:rsidP="007C3C2A">
            <w:pPr>
              <w:rPr>
                <w:rFonts w:asciiTheme="minorHAnsi" w:hAnsiTheme="minorHAnsi" w:cstheme="minorHAnsi"/>
                <w:b/>
                <w:szCs w:val="20"/>
              </w:rPr>
            </w:pPr>
            <w:r w:rsidRPr="00552B07">
              <w:rPr>
                <w:rFonts w:asciiTheme="minorHAnsi" w:hAnsiTheme="minorHAnsi" w:cstheme="minorHAnsi"/>
                <w:b/>
                <w:szCs w:val="20"/>
              </w:rPr>
              <w:t>1</w:t>
            </w:r>
            <w:r w:rsidRPr="00552B07">
              <w:rPr>
                <w:rFonts w:asciiTheme="minorHAnsi" w:hAnsiTheme="minorHAnsi" w:cstheme="minorHAnsi"/>
                <w:b/>
                <w:szCs w:val="20"/>
                <w:vertAlign w:val="superscript"/>
              </w:rPr>
              <w:t>st</w:t>
            </w:r>
            <w:r w:rsidRPr="00552B07">
              <w:rPr>
                <w:rFonts w:asciiTheme="minorHAnsi" w:hAnsiTheme="minorHAnsi" w:cstheme="minorHAnsi"/>
                <w:b/>
                <w:szCs w:val="20"/>
              </w:rPr>
              <w:t xml:space="preserve"> Baseline</w:t>
            </w:r>
          </w:p>
        </w:tc>
        <w:tc>
          <w:tcPr>
            <w:tcW w:w="933" w:type="pct"/>
            <w:shd w:val="clear" w:color="auto" w:fill="D9D9D9" w:themeFill="background1" w:themeFillShade="D9"/>
          </w:tcPr>
          <w:p w14:paraId="54348C50" w14:textId="77777777" w:rsidR="00BF3F94" w:rsidRPr="00552B07" w:rsidRDefault="00BF3F94" w:rsidP="007C3C2A">
            <w:pPr>
              <w:rPr>
                <w:rFonts w:asciiTheme="minorHAnsi" w:hAnsiTheme="minorHAnsi" w:cstheme="minorHAnsi"/>
                <w:b/>
                <w:szCs w:val="20"/>
              </w:rPr>
            </w:pPr>
            <w:r w:rsidRPr="00552B07">
              <w:rPr>
                <w:rFonts w:asciiTheme="minorHAnsi" w:hAnsiTheme="minorHAnsi" w:cstheme="minorHAnsi"/>
                <w:b/>
                <w:szCs w:val="20"/>
              </w:rPr>
              <w:t>2</w:t>
            </w:r>
            <w:r w:rsidRPr="00552B07">
              <w:rPr>
                <w:rFonts w:asciiTheme="minorHAnsi" w:hAnsiTheme="minorHAnsi" w:cstheme="minorHAnsi"/>
                <w:b/>
                <w:szCs w:val="20"/>
                <w:vertAlign w:val="superscript"/>
              </w:rPr>
              <w:t>nd</w:t>
            </w:r>
            <w:r w:rsidRPr="00552B07">
              <w:rPr>
                <w:rFonts w:asciiTheme="minorHAnsi" w:hAnsiTheme="minorHAnsi" w:cstheme="minorHAnsi"/>
                <w:b/>
                <w:szCs w:val="20"/>
              </w:rPr>
              <w:t xml:space="preserve"> Baseline</w:t>
            </w:r>
          </w:p>
        </w:tc>
      </w:tr>
      <w:tr w:rsidR="00BF3F94" w:rsidRPr="00552B07" w14:paraId="5802718C" w14:textId="77777777" w:rsidTr="007C3C2A">
        <w:trPr>
          <w:cnfStyle w:val="000000010000" w:firstRow="0" w:lastRow="0" w:firstColumn="0" w:lastColumn="0" w:oddVBand="0" w:evenVBand="0" w:oddHBand="0" w:evenHBand="1" w:firstRowFirstColumn="0" w:firstRowLastColumn="0" w:lastRowFirstColumn="0" w:lastRowLastColumn="0"/>
        </w:trPr>
        <w:tc>
          <w:tcPr>
            <w:tcW w:w="1175" w:type="pct"/>
            <w:shd w:val="clear" w:color="auto" w:fill="F2F2F2" w:themeFill="background1" w:themeFillShade="F2"/>
          </w:tcPr>
          <w:p w14:paraId="7F01A050" w14:textId="77777777" w:rsidR="00BF3F94" w:rsidRPr="00552B07" w:rsidRDefault="00BF3F94" w:rsidP="007C3C2A">
            <w:pPr>
              <w:rPr>
                <w:rFonts w:asciiTheme="minorHAnsi" w:hAnsiTheme="minorHAnsi" w:cstheme="minorHAnsi"/>
                <w:szCs w:val="20"/>
              </w:rPr>
            </w:pPr>
            <w:r w:rsidRPr="00552B07">
              <w:rPr>
                <w:rFonts w:asciiTheme="minorHAnsi" w:hAnsiTheme="minorHAnsi" w:cstheme="minorHAnsi"/>
                <w:szCs w:val="20"/>
              </w:rPr>
              <w:t>RF-16925: Auto-closer for Walk-in Cooler (Main Solid Door)</w:t>
            </w:r>
          </w:p>
        </w:tc>
        <w:tc>
          <w:tcPr>
            <w:tcW w:w="794" w:type="pct"/>
            <w:shd w:val="clear" w:color="auto" w:fill="F2F2F2" w:themeFill="background1" w:themeFillShade="F2"/>
          </w:tcPr>
          <w:p w14:paraId="7C700D14" w14:textId="5CF124D6" w:rsidR="00BF3F94" w:rsidRPr="00552B07" w:rsidRDefault="00A56921" w:rsidP="007C3C2A">
            <w:pPr>
              <w:rPr>
                <w:rFonts w:asciiTheme="minorHAnsi" w:hAnsiTheme="minorHAnsi" w:cstheme="minorHAnsi"/>
                <w:szCs w:val="20"/>
                <w:vertAlign w:val="superscript"/>
              </w:rPr>
            </w:pPr>
            <w:r>
              <w:rPr>
                <w:rFonts w:cs="Calibri"/>
                <w:color w:val="000000"/>
                <w:sz w:val="18"/>
                <w:szCs w:val="18"/>
              </w:rPr>
              <w:t>REA</w:t>
            </w:r>
          </w:p>
        </w:tc>
        <w:tc>
          <w:tcPr>
            <w:tcW w:w="1306" w:type="pct"/>
            <w:shd w:val="clear" w:color="auto" w:fill="F2F2F2" w:themeFill="background1" w:themeFillShade="F2"/>
          </w:tcPr>
          <w:p w14:paraId="71B2A762" w14:textId="083E22C3" w:rsidR="00BF3F94" w:rsidRPr="00552B07" w:rsidRDefault="00BF3F94" w:rsidP="00882077">
            <w:pPr>
              <w:rPr>
                <w:rFonts w:asciiTheme="minorHAnsi" w:hAnsiTheme="minorHAnsi" w:cstheme="minorHAnsi"/>
                <w:szCs w:val="20"/>
              </w:rPr>
            </w:pPr>
            <w:r w:rsidRPr="00552B07">
              <w:rPr>
                <w:rFonts w:asciiTheme="minorHAnsi" w:hAnsiTheme="minorHAnsi" w:cstheme="minorHAnsi"/>
                <w:szCs w:val="20"/>
              </w:rPr>
              <w:t>$6</w:t>
            </w:r>
            <w:r w:rsidR="000E17B7" w:rsidRPr="00552B07">
              <w:rPr>
                <w:rFonts w:asciiTheme="minorHAnsi" w:hAnsiTheme="minorHAnsi" w:cstheme="minorHAnsi"/>
                <w:szCs w:val="20"/>
              </w:rPr>
              <w:t>42</w:t>
            </w:r>
            <w:r w:rsidR="000F49D0" w:rsidRPr="00552B07">
              <w:rPr>
                <w:rFonts w:asciiTheme="minorHAnsi" w:hAnsiTheme="minorHAnsi" w:cstheme="minorHAnsi"/>
                <w:szCs w:val="20"/>
              </w:rPr>
              <w:t>.00</w:t>
            </w:r>
            <w:r w:rsidRPr="00552B07">
              <w:rPr>
                <w:rFonts w:asciiTheme="minorHAnsi" w:hAnsiTheme="minorHAnsi" w:cstheme="minorHAnsi"/>
                <w:szCs w:val="20"/>
              </w:rPr>
              <w:t>/</w:t>
            </w:r>
            <w:r w:rsidR="00882077" w:rsidRPr="00552B07">
              <w:rPr>
                <w:rFonts w:asciiTheme="minorHAnsi" w:hAnsiTheme="minorHAnsi" w:cstheme="minorHAnsi"/>
                <w:szCs w:val="20"/>
              </w:rPr>
              <w:t>door</w:t>
            </w:r>
          </w:p>
        </w:tc>
        <w:tc>
          <w:tcPr>
            <w:tcW w:w="792" w:type="pct"/>
            <w:shd w:val="clear" w:color="auto" w:fill="F2F2F2" w:themeFill="background1" w:themeFillShade="F2"/>
          </w:tcPr>
          <w:p w14:paraId="6DCC42D3" w14:textId="67BD08EA" w:rsidR="00BF3F94" w:rsidRPr="00552B07" w:rsidRDefault="00BF3F94" w:rsidP="00882077">
            <w:pPr>
              <w:rPr>
                <w:rFonts w:asciiTheme="minorHAnsi" w:hAnsiTheme="minorHAnsi" w:cstheme="minorHAnsi"/>
                <w:szCs w:val="20"/>
              </w:rPr>
            </w:pPr>
            <w:r w:rsidRPr="00552B07">
              <w:rPr>
                <w:rFonts w:asciiTheme="minorHAnsi" w:hAnsiTheme="minorHAnsi" w:cstheme="minorHAnsi"/>
                <w:szCs w:val="20"/>
              </w:rPr>
              <w:t>$6</w:t>
            </w:r>
            <w:r w:rsidR="000E17B7" w:rsidRPr="00552B07">
              <w:rPr>
                <w:rFonts w:asciiTheme="minorHAnsi" w:hAnsiTheme="minorHAnsi" w:cstheme="minorHAnsi"/>
                <w:szCs w:val="20"/>
              </w:rPr>
              <w:t>42</w:t>
            </w:r>
            <w:r w:rsidR="000F49D0" w:rsidRPr="00552B07">
              <w:rPr>
                <w:rFonts w:asciiTheme="minorHAnsi" w:hAnsiTheme="minorHAnsi" w:cstheme="minorHAnsi"/>
                <w:szCs w:val="20"/>
              </w:rPr>
              <w:t>.00</w:t>
            </w:r>
            <w:r w:rsidRPr="00552B07">
              <w:rPr>
                <w:rFonts w:asciiTheme="minorHAnsi" w:hAnsiTheme="minorHAnsi" w:cstheme="minorHAnsi"/>
                <w:szCs w:val="20"/>
              </w:rPr>
              <w:t>/</w:t>
            </w:r>
            <w:r w:rsidR="00882077" w:rsidRPr="00552B07">
              <w:rPr>
                <w:rFonts w:asciiTheme="minorHAnsi" w:hAnsiTheme="minorHAnsi" w:cstheme="minorHAnsi"/>
                <w:szCs w:val="20"/>
              </w:rPr>
              <w:t>door</w:t>
            </w:r>
          </w:p>
        </w:tc>
        <w:tc>
          <w:tcPr>
            <w:tcW w:w="933" w:type="pct"/>
            <w:shd w:val="clear" w:color="auto" w:fill="F2F2F2" w:themeFill="background1" w:themeFillShade="F2"/>
          </w:tcPr>
          <w:p w14:paraId="502C8BF7" w14:textId="77777777" w:rsidR="00BF3F94" w:rsidRPr="00552B07" w:rsidRDefault="00BF3F94" w:rsidP="007C3C2A">
            <w:pPr>
              <w:rPr>
                <w:rFonts w:asciiTheme="minorHAnsi" w:hAnsiTheme="minorHAnsi" w:cstheme="minorHAnsi"/>
                <w:szCs w:val="20"/>
              </w:rPr>
            </w:pPr>
            <w:r w:rsidRPr="00552B07">
              <w:rPr>
                <w:rFonts w:asciiTheme="minorHAnsi" w:hAnsiTheme="minorHAnsi" w:cstheme="minorHAnsi"/>
                <w:szCs w:val="20"/>
              </w:rPr>
              <w:t>N/A</w:t>
            </w:r>
          </w:p>
        </w:tc>
      </w:tr>
      <w:tr w:rsidR="00BF3F94" w:rsidRPr="00552B07" w14:paraId="411D2DF4" w14:textId="77777777" w:rsidTr="007C3C2A">
        <w:trPr>
          <w:cnfStyle w:val="000000100000" w:firstRow="0" w:lastRow="0" w:firstColumn="0" w:lastColumn="0" w:oddVBand="0" w:evenVBand="0" w:oddHBand="1" w:evenHBand="0" w:firstRowFirstColumn="0" w:firstRowLastColumn="0" w:lastRowFirstColumn="0" w:lastRowLastColumn="0"/>
        </w:trPr>
        <w:tc>
          <w:tcPr>
            <w:tcW w:w="1175" w:type="pct"/>
            <w:shd w:val="clear" w:color="auto" w:fill="F2F2F2" w:themeFill="background1" w:themeFillShade="F2"/>
          </w:tcPr>
          <w:p w14:paraId="70CAFA7F" w14:textId="77777777" w:rsidR="00BF3F94" w:rsidRPr="00552B07" w:rsidRDefault="00BF3F94" w:rsidP="007C3C2A">
            <w:pPr>
              <w:rPr>
                <w:rFonts w:asciiTheme="minorHAnsi" w:hAnsiTheme="minorHAnsi" w:cstheme="minorHAnsi"/>
                <w:szCs w:val="20"/>
              </w:rPr>
            </w:pPr>
            <w:r w:rsidRPr="00552B07">
              <w:rPr>
                <w:rFonts w:asciiTheme="minorHAnsi" w:hAnsiTheme="minorHAnsi" w:cstheme="minorHAnsi"/>
                <w:szCs w:val="20"/>
              </w:rPr>
              <w:t>RF-32156: Auto-closer for Walk-in Freezer(Main Solid Door)</w:t>
            </w:r>
          </w:p>
        </w:tc>
        <w:tc>
          <w:tcPr>
            <w:tcW w:w="794" w:type="pct"/>
            <w:shd w:val="clear" w:color="auto" w:fill="F2F2F2" w:themeFill="background1" w:themeFillShade="F2"/>
          </w:tcPr>
          <w:p w14:paraId="35F8D6E5" w14:textId="06395B06" w:rsidR="00BF3F94" w:rsidRPr="00552B07" w:rsidRDefault="00A56921" w:rsidP="007C3C2A">
            <w:pPr>
              <w:rPr>
                <w:rFonts w:asciiTheme="minorHAnsi" w:hAnsiTheme="minorHAnsi" w:cstheme="minorHAnsi"/>
                <w:szCs w:val="20"/>
                <w:vertAlign w:val="superscript"/>
              </w:rPr>
            </w:pPr>
            <w:r>
              <w:rPr>
                <w:rFonts w:cs="Calibri"/>
                <w:color w:val="000000"/>
                <w:sz w:val="18"/>
                <w:szCs w:val="18"/>
              </w:rPr>
              <w:t>REA</w:t>
            </w:r>
          </w:p>
        </w:tc>
        <w:tc>
          <w:tcPr>
            <w:tcW w:w="1306" w:type="pct"/>
            <w:shd w:val="clear" w:color="auto" w:fill="F2F2F2" w:themeFill="background1" w:themeFillShade="F2"/>
          </w:tcPr>
          <w:p w14:paraId="2658D34E" w14:textId="52C842F1" w:rsidR="00BF3F94" w:rsidRPr="00552B07" w:rsidRDefault="00BF3F94" w:rsidP="00882077">
            <w:pPr>
              <w:rPr>
                <w:rFonts w:asciiTheme="minorHAnsi" w:hAnsiTheme="minorHAnsi" w:cstheme="minorHAnsi"/>
                <w:szCs w:val="20"/>
              </w:rPr>
            </w:pPr>
            <w:r w:rsidRPr="00552B07">
              <w:rPr>
                <w:rFonts w:asciiTheme="minorHAnsi" w:hAnsiTheme="minorHAnsi" w:cstheme="minorHAnsi"/>
                <w:szCs w:val="20"/>
              </w:rPr>
              <w:t>$6</w:t>
            </w:r>
            <w:r w:rsidR="000E17B7" w:rsidRPr="00552B07">
              <w:rPr>
                <w:rFonts w:asciiTheme="minorHAnsi" w:hAnsiTheme="minorHAnsi" w:cstheme="minorHAnsi"/>
                <w:szCs w:val="20"/>
              </w:rPr>
              <w:t>42</w:t>
            </w:r>
            <w:r w:rsidR="000F49D0" w:rsidRPr="00552B07">
              <w:rPr>
                <w:rFonts w:asciiTheme="minorHAnsi" w:hAnsiTheme="minorHAnsi" w:cstheme="minorHAnsi"/>
                <w:szCs w:val="20"/>
              </w:rPr>
              <w:t>.00</w:t>
            </w:r>
            <w:r w:rsidRPr="00552B07">
              <w:rPr>
                <w:rFonts w:asciiTheme="minorHAnsi" w:hAnsiTheme="minorHAnsi" w:cstheme="minorHAnsi"/>
                <w:szCs w:val="20"/>
              </w:rPr>
              <w:t>/</w:t>
            </w:r>
            <w:r w:rsidR="00882077" w:rsidRPr="00552B07">
              <w:rPr>
                <w:rFonts w:asciiTheme="minorHAnsi" w:hAnsiTheme="minorHAnsi" w:cstheme="minorHAnsi"/>
                <w:szCs w:val="20"/>
              </w:rPr>
              <w:t>doo</w:t>
            </w:r>
            <w:r w:rsidRPr="00552B07">
              <w:rPr>
                <w:rFonts w:asciiTheme="minorHAnsi" w:hAnsiTheme="minorHAnsi" w:cstheme="minorHAnsi"/>
                <w:szCs w:val="20"/>
              </w:rPr>
              <w:t>r</w:t>
            </w:r>
          </w:p>
        </w:tc>
        <w:tc>
          <w:tcPr>
            <w:tcW w:w="792" w:type="pct"/>
            <w:shd w:val="clear" w:color="auto" w:fill="F2F2F2" w:themeFill="background1" w:themeFillShade="F2"/>
          </w:tcPr>
          <w:p w14:paraId="38AF0F15" w14:textId="5A0BF264" w:rsidR="00BF3F94" w:rsidRPr="00552B07" w:rsidRDefault="00BF3F94" w:rsidP="00882077">
            <w:pPr>
              <w:rPr>
                <w:rFonts w:asciiTheme="minorHAnsi" w:hAnsiTheme="minorHAnsi" w:cstheme="minorHAnsi"/>
                <w:szCs w:val="20"/>
              </w:rPr>
            </w:pPr>
            <w:r w:rsidRPr="00552B07">
              <w:rPr>
                <w:rFonts w:asciiTheme="minorHAnsi" w:hAnsiTheme="minorHAnsi" w:cstheme="minorHAnsi"/>
                <w:szCs w:val="20"/>
              </w:rPr>
              <w:t>$6</w:t>
            </w:r>
            <w:r w:rsidR="000E17B7" w:rsidRPr="00552B07">
              <w:rPr>
                <w:rFonts w:asciiTheme="minorHAnsi" w:hAnsiTheme="minorHAnsi" w:cstheme="minorHAnsi"/>
                <w:szCs w:val="20"/>
              </w:rPr>
              <w:t>42</w:t>
            </w:r>
            <w:r w:rsidR="000F49D0" w:rsidRPr="00552B07">
              <w:rPr>
                <w:rFonts w:asciiTheme="minorHAnsi" w:hAnsiTheme="minorHAnsi" w:cstheme="minorHAnsi"/>
                <w:szCs w:val="20"/>
              </w:rPr>
              <w:t>.00</w:t>
            </w:r>
            <w:r w:rsidR="00882077" w:rsidRPr="00552B07">
              <w:rPr>
                <w:rFonts w:asciiTheme="minorHAnsi" w:hAnsiTheme="minorHAnsi" w:cstheme="minorHAnsi"/>
                <w:szCs w:val="20"/>
              </w:rPr>
              <w:t>/door</w:t>
            </w:r>
          </w:p>
        </w:tc>
        <w:tc>
          <w:tcPr>
            <w:tcW w:w="933" w:type="pct"/>
            <w:shd w:val="clear" w:color="auto" w:fill="F2F2F2" w:themeFill="background1" w:themeFillShade="F2"/>
          </w:tcPr>
          <w:p w14:paraId="2EE277DD" w14:textId="77777777" w:rsidR="00BF3F94" w:rsidRPr="00552B07" w:rsidRDefault="00BF3F94" w:rsidP="007C3C2A">
            <w:pPr>
              <w:rPr>
                <w:rFonts w:asciiTheme="minorHAnsi" w:hAnsiTheme="minorHAnsi" w:cstheme="minorHAnsi"/>
                <w:szCs w:val="20"/>
              </w:rPr>
            </w:pPr>
            <w:r w:rsidRPr="00552B07">
              <w:rPr>
                <w:rFonts w:asciiTheme="minorHAnsi" w:hAnsiTheme="minorHAnsi" w:cstheme="minorHAnsi"/>
                <w:szCs w:val="20"/>
              </w:rPr>
              <w:t>N/A</w:t>
            </w:r>
          </w:p>
        </w:tc>
      </w:tr>
    </w:tbl>
    <w:p w14:paraId="6377E373" w14:textId="77777777" w:rsidR="00BF3F94" w:rsidRPr="00552B07" w:rsidRDefault="00BF3F94" w:rsidP="00BF3F94"/>
    <w:p w14:paraId="37E9FBDB" w14:textId="754E7BBE" w:rsidR="00E16609" w:rsidRPr="00552B07" w:rsidRDefault="00E16609">
      <w:pPr>
        <w:rPr>
          <w:rFonts w:cstheme="minorHAnsi"/>
          <w:sz w:val="20"/>
          <w:szCs w:val="20"/>
        </w:rPr>
      </w:pPr>
      <w:bookmarkStart w:id="20" w:name="_Toc214003099"/>
      <w:bookmarkEnd w:id="19"/>
      <w:r w:rsidRPr="00552B07">
        <w:rPr>
          <w:rFonts w:cstheme="minorHAnsi"/>
          <w:sz w:val="20"/>
          <w:szCs w:val="20"/>
        </w:rPr>
        <w:br w:type="page"/>
      </w:r>
    </w:p>
    <w:bookmarkEnd w:id="20"/>
    <w:p w14:paraId="266FC965" w14:textId="77777777" w:rsidR="00E16609" w:rsidRDefault="00E16609" w:rsidP="00E16609">
      <w:pPr>
        <w:pStyle w:val="Heading1"/>
        <w:rPr>
          <w:rFonts w:cstheme="minorHAnsi"/>
        </w:rPr>
      </w:pPr>
      <w:r w:rsidRPr="00500C4E">
        <w:rPr>
          <w:rFonts w:cstheme="minorHAnsi"/>
        </w:rPr>
        <w:lastRenderedPageBreak/>
        <w:t>Attachments</w:t>
      </w:r>
    </w:p>
    <w:p w14:paraId="2F9C75E2" w14:textId="77777777" w:rsidR="005D2C4F" w:rsidRPr="00437038" w:rsidRDefault="005D2C4F" w:rsidP="00AE46A0"/>
    <w:p w14:paraId="5938EB5F" w14:textId="107FCC7E" w:rsidR="00010E8D" w:rsidRDefault="007D563A" w:rsidP="007D563A">
      <w:pPr>
        <w:pStyle w:val="Reminders"/>
        <w:numPr>
          <w:ilvl w:val="0"/>
          <w:numId w:val="48"/>
        </w:numPr>
        <w:rPr>
          <w:rFonts w:asciiTheme="minorHAnsi" w:hAnsiTheme="minorHAnsi" w:cstheme="minorHAnsi"/>
          <w:i w:val="0"/>
          <w:color w:val="auto"/>
        </w:rPr>
      </w:pPr>
      <w:r w:rsidRPr="007D563A">
        <w:rPr>
          <w:rFonts w:asciiTheme="minorHAnsi" w:hAnsiTheme="minorHAnsi" w:cstheme="minorHAnsi"/>
          <w:i w:val="0"/>
          <w:color w:val="auto"/>
        </w:rPr>
        <w:t>A1 Calculation Backup</w:t>
      </w:r>
    </w:p>
    <w:p w14:paraId="6150B045" w14:textId="401DB753" w:rsidR="00010E8D" w:rsidRDefault="00010E8D" w:rsidP="00010E8D">
      <w:pPr>
        <w:pStyle w:val="Reminders"/>
        <w:ind w:left="1080"/>
        <w:rPr>
          <w:rFonts w:asciiTheme="minorHAnsi" w:hAnsiTheme="minorHAnsi" w:cstheme="minorHAnsi"/>
          <w:i w:val="0"/>
          <w:color w:val="auto"/>
        </w:rPr>
      </w:pPr>
    </w:p>
    <w:p w14:paraId="324A84CF" w14:textId="379F7496" w:rsidR="00010E8D" w:rsidRDefault="007D563A" w:rsidP="007D563A">
      <w:pPr>
        <w:pStyle w:val="Reminders"/>
        <w:numPr>
          <w:ilvl w:val="0"/>
          <w:numId w:val="48"/>
        </w:numPr>
        <w:rPr>
          <w:rFonts w:asciiTheme="minorHAnsi" w:hAnsiTheme="minorHAnsi" w:cstheme="minorHAnsi"/>
          <w:i w:val="0"/>
          <w:color w:val="auto"/>
        </w:rPr>
      </w:pPr>
      <w:bookmarkStart w:id="21" w:name="_MON_1454920768"/>
      <w:bookmarkStart w:id="22" w:name="_MON_1395658543"/>
      <w:bookmarkStart w:id="23" w:name="_MON_1395659700"/>
      <w:bookmarkStart w:id="24" w:name="_MON_1401799130"/>
      <w:bookmarkStart w:id="25" w:name="_MON_1401799596"/>
      <w:bookmarkStart w:id="26" w:name="_MON_1399293534"/>
      <w:bookmarkStart w:id="27" w:name="_MON_1396340490"/>
      <w:bookmarkEnd w:id="21"/>
      <w:bookmarkEnd w:id="22"/>
      <w:bookmarkEnd w:id="23"/>
      <w:bookmarkEnd w:id="24"/>
      <w:bookmarkEnd w:id="25"/>
      <w:bookmarkEnd w:id="26"/>
      <w:bookmarkEnd w:id="27"/>
      <w:r w:rsidRPr="007D563A">
        <w:rPr>
          <w:rFonts w:asciiTheme="minorHAnsi" w:hAnsiTheme="minorHAnsi" w:cstheme="minorHAnsi"/>
          <w:i w:val="0"/>
          <w:color w:val="auto"/>
        </w:rPr>
        <w:t>A2 Calculation Template</w:t>
      </w:r>
    </w:p>
    <w:p w14:paraId="22AA405E" w14:textId="77777777" w:rsidR="00010E8D" w:rsidRDefault="00010E8D" w:rsidP="009B480A">
      <w:pPr>
        <w:pStyle w:val="Reminders"/>
        <w:rPr>
          <w:rFonts w:asciiTheme="minorHAnsi" w:hAnsiTheme="minorHAnsi" w:cstheme="minorHAnsi"/>
          <w:i w:val="0"/>
          <w:color w:val="auto"/>
        </w:rPr>
      </w:pPr>
    </w:p>
    <w:p w14:paraId="7706F28C" w14:textId="01A089D4" w:rsidR="00070899" w:rsidRPr="00853083" w:rsidRDefault="007D563A" w:rsidP="007D563A">
      <w:pPr>
        <w:pStyle w:val="Reminders"/>
        <w:numPr>
          <w:ilvl w:val="0"/>
          <w:numId w:val="48"/>
        </w:numPr>
        <w:rPr>
          <w:rFonts w:asciiTheme="minorHAnsi" w:hAnsiTheme="minorHAnsi" w:cstheme="minorHAnsi"/>
          <w:i w:val="0"/>
          <w:color w:val="auto"/>
        </w:rPr>
      </w:pPr>
      <w:r w:rsidRPr="007D563A">
        <w:rPr>
          <w:rFonts w:asciiTheme="minorHAnsi" w:hAnsiTheme="minorHAnsi" w:cstheme="minorHAnsi"/>
          <w:i w:val="0"/>
          <w:color w:val="auto"/>
        </w:rPr>
        <w:t xml:space="preserve">A3 </w:t>
      </w:r>
      <w:proofErr w:type="spellStart"/>
      <w:r w:rsidRPr="007D563A">
        <w:rPr>
          <w:rFonts w:asciiTheme="minorHAnsi" w:hAnsiTheme="minorHAnsi" w:cstheme="minorHAnsi"/>
          <w:i w:val="0"/>
          <w:color w:val="auto"/>
        </w:rPr>
        <w:t>eQuest</w:t>
      </w:r>
      <w:proofErr w:type="spellEnd"/>
      <w:r w:rsidRPr="007D563A">
        <w:rPr>
          <w:rFonts w:asciiTheme="minorHAnsi" w:hAnsiTheme="minorHAnsi" w:cstheme="minorHAnsi"/>
          <w:i w:val="0"/>
          <w:color w:val="auto"/>
        </w:rPr>
        <w:t xml:space="preserve"> Files</w:t>
      </w:r>
      <w:bookmarkStart w:id="28" w:name="_GoBack"/>
      <w:bookmarkEnd w:id="28"/>
    </w:p>
    <w:p w14:paraId="78338510" w14:textId="77777777" w:rsidR="00D53950" w:rsidRPr="00AE46A0" w:rsidRDefault="00D53950" w:rsidP="00AE46A0">
      <w:pPr>
        <w:rPr>
          <w:rFonts w:cstheme="minorHAnsi"/>
          <w: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2ED6AE75" w14:textId="39175696" w:rsidR="002C14C6" w:rsidRDefault="00DD06C7" w:rsidP="002C14C6">
      <w:r>
        <w:object w:dxaOrig="2040" w:dyaOrig="1320" w14:anchorId="6350D3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1.4pt;height:66.6pt" o:ole="">
            <v:imagedata r:id="rId13" o:title=""/>
          </v:shape>
          <o:OLEObject Type="Embed" ProgID="Excel.Sheet.12" ShapeID="_x0000_i1028" DrawAspect="Icon" ObjectID="_1572755088" r:id="rId14"/>
        </w:object>
      </w:r>
    </w:p>
    <w:p w14:paraId="26171D5E" w14:textId="77777777" w:rsidR="00136BAD" w:rsidRPr="00090C25" w:rsidRDefault="00136BAD" w:rsidP="00090C25"/>
    <w:p w14:paraId="4786DAC3" w14:textId="75B57530" w:rsidR="00090C25" w:rsidRDefault="00090C25" w:rsidP="00090C25">
      <w:pPr>
        <w:rPr>
          <w:rFonts w:cstheme="minorHAnsi"/>
          <w:szCs w:val="22"/>
        </w:rPr>
      </w:pPr>
      <w:r>
        <w:rPr>
          <w:rFonts w:cstheme="minorHAnsi"/>
          <w:szCs w:val="22"/>
        </w:rPr>
        <w:t>[386]</w:t>
      </w:r>
    </w:p>
    <w:p w14:paraId="7A7E638B" w14:textId="6457C4CF" w:rsidR="007A1C73" w:rsidRPr="00D53594" w:rsidRDefault="007A1C73" w:rsidP="00090C25">
      <w:pPr>
        <w:rPr>
          <w:rFonts w:cstheme="minorHAnsi"/>
          <w:szCs w:val="22"/>
        </w:rPr>
      </w:pPr>
      <w:r w:rsidRPr="00D53594">
        <w:rPr>
          <w:rFonts w:cstheme="minorHAnsi"/>
          <w:szCs w:val="22"/>
        </w:rPr>
        <w:t>[475]</w:t>
      </w:r>
    </w:p>
    <w:p w14:paraId="3DDEEF70" w14:textId="67D9B566" w:rsidR="00480E7B" w:rsidRDefault="00480E7B">
      <w:pPr>
        <w:rPr>
          <w:color w:val="FF0000"/>
        </w:rPr>
      </w:pPr>
    </w:p>
    <w:p w14:paraId="02A1B982" w14:textId="77777777" w:rsidR="00900C44" w:rsidRPr="00BC409A" w:rsidRDefault="00900C44" w:rsidP="00900C44">
      <w:pPr>
        <w:rPr>
          <w:rFonts w:cstheme="minorHAnsi"/>
          <w:szCs w:val="22"/>
        </w:rPr>
      </w:pPr>
      <w:r w:rsidRPr="00BC409A">
        <w:rPr>
          <w:rFonts w:cstheme="minorHAnsi"/>
          <w:szCs w:val="22"/>
        </w:rPr>
        <w:t>________________</w:t>
      </w:r>
    </w:p>
    <w:p w14:paraId="6653CCDD" w14:textId="3F22FAFE" w:rsidR="00900C44" w:rsidRDefault="00900C44" w:rsidP="00900C44">
      <w:pPr>
        <w:pStyle w:val="EndnoteText"/>
        <w:tabs>
          <w:tab w:val="left" w:pos="360"/>
        </w:tabs>
        <w:ind w:left="360" w:hanging="360"/>
        <w:rPr>
          <w:rFonts w:asciiTheme="minorHAnsi" w:hAnsiTheme="minorHAnsi" w:cstheme="minorHAnsi"/>
          <w:sz w:val="22"/>
          <w:szCs w:val="22"/>
        </w:rPr>
      </w:pPr>
      <w:r w:rsidRPr="00D53594">
        <w:rPr>
          <w:rFonts w:asciiTheme="minorHAnsi" w:hAnsiTheme="minorHAnsi" w:cstheme="minorHAnsi"/>
          <w:sz w:val="22"/>
          <w:szCs w:val="22"/>
        </w:rPr>
        <w:t xml:space="preserve">[A] California Energy Commission. (April 2017). </w:t>
      </w:r>
      <w:proofErr w:type="gramStart"/>
      <w:r w:rsidRPr="00D53594">
        <w:rPr>
          <w:rFonts w:asciiTheme="minorHAnsi" w:hAnsiTheme="minorHAnsi" w:cstheme="minorHAnsi"/>
          <w:sz w:val="22"/>
          <w:szCs w:val="22"/>
        </w:rPr>
        <w:t>California Code of Regulations Title 20.</w:t>
      </w:r>
      <w:proofErr w:type="gramEnd"/>
      <w:r w:rsidRPr="00D53594">
        <w:rPr>
          <w:rFonts w:asciiTheme="minorHAnsi" w:hAnsiTheme="minorHAnsi" w:cstheme="minorHAnsi"/>
          <w:sz w:val="22"/>
          <w:szCs w:val="22"/>
        </w:rPr>
        <w:t xml:space="preserve"> Retrieved from </w:t>
      </w:r>
      <w:hyperlink r:id="rId15" w:history="1">
        <w:r w:rsidRPr="00263CD4">
          <w:rPr>
            <w:rStyle w:val="Hyperlink"/>
            <w:rFonts w:asciiTheme="minorHAnsi" w:hAnsiTheme="minorHAnsi" w:cstheme="minorHAnsi"/>
            <w:sz w:val="22"/>
            <w:szCs w:val="22"/>
          </w:rPr>
          <w:t>http://www.energy.ca.gov/2017publications/CEC-140-2017-002/CEC-140-2017-002.pdf</w:t>
        </w:r>
      </w:hyperlink>
      <w:r>
        <w:rPr>
          <w:rFonts w:asciiTheme="minorHAnsi" w:hAnsiTheme="minorHAnsi" w:cstheme="minorHAnsi"/>
          <w:sz w:val="22"/>
          <w:szCs w:val="22"/>
        </w:rPr>
        <w:t xml:space="preserve"> </w:t>
      </w:r>
    </w:p>
    <w:p w14:paraId="439E1486" w14:textId="3FE9010A" w:rsidR="008B0A86" w:rsidRPr="00D53594" w:rsidRDefault="00F66840">
      <w:r w:rsidRPr="00D53594">
        <w:t>[B] California Technical Forum, Commercial Refrigeration Subcommittee Meeting #5, September 2017.</w:t>
      </w:r>
    </w:p>
    <w:p w14:paraId="01EB04B0" w14:textId="52141528" w:rsidR="00105743" w:rsidRDefault="004E6D29" w:rsidP="00105743">
      <w:pPr>
        <w:tabs>
          <w:tab w:val="left" w:pos="360"/>
        </w:tabs>
        <w:ind w:left="360" w:hanging="360"/>
      </w:pPr>
      <w:r w:rsidRPr="00D53594">
        <w:rPr>
          <w:rFonts w:cstheme="minorHAnsi"/>
          <w:szCs w:val="22"/>
        </w:rPr>
        <w:t xml:space="preserve">[C] Resolution E-4818. D. 16-08-019 / CT6. </w:t>
      </w:r>
      <w:r w:rsidR="003152B4">
        <w:rPr>
          <w:rFonts w:cstheme="minorHAnsi"/>
          <w:szCs w:val="22"/>
        </w:rPr>
        <w:t>March</w:t>
      </w:r>
      <w:r w:rsidRPr="00D53594">
        <w:rPr>
          <w:rFonts w:cstheme="minorHAnsi"/>
          <w:szCs w:val="22"/>
        </w:rPr>
        <w:t xml:space="preserve"> </w:t>
      </w:r>
      <w:r w:rsidR="003152B4">
        <w:rPr>
          <w:rFonts w:cstheme="minorHAnsi"/>
          <w:szCs w:val="22"/>
        </w:rPr>
        <w:t>3</w:t>
      </w:r>
      <w:r w:rsidRPr="00D53594">
        <w:rPr>
          <w:rFonts w:cstheme="minorHAnsi"/>
          <w:szCs w:val="22"/>
        </w:rPr>
        <w:t xml:space="preserve">, 2017. Retrieved from </w:t>
      </w:r>
      <w:hyperlink r:id="rId16" w:history="1">
        <w:r w:rsidR="00105743" w:rsidRPr="00D4191E">
          <w:rPr>
            <w:rStyle w:val="Hyperlink"/>
          </w:rPr>
          <w:t>http://docs.cpuc.ca.gov/PublishedDocs/Published/G000/M179/K264/179264220.PDF</w:t>
        </w:r>
      </w:hyperlink>
      <w:r w:rsidR="00105743" w:rsidRPr="00105743">
        <w:t xml:space="preserve"> </w:t>
      </w:r>
    </w:p>
    <w:p w14:paraId="3A19C981" w14:textId="301F7FD9" w:rsidR="006E2644" w:rsidRDefault="006E2644" w:rsidP="00105743">
      <w:pPr>
        <w:tabs>
          <w:tab w:val="left" w:pos="360"/>
        </w:tabs>
        <w:ind w:left="360" w:hanging="360"/>
        <w:rPr>
          <w:rFonts w:cstheme="minorHAnsi"/>
          <w:szCs w:val="22"/>
        </w:rPr>
      </w:pPr>
      <w:r>
        <w:rPr>
          <w:rFonts w:cstheme="minorHAnsi"/>
          <w:szCs w:val="22"/>
        </w:rPr>
        <w:t xml:space="preserve">[D] </w:t>
      </w:r>
      <w:r w:rsidRPr="00D53594">
        <w:rPr>
          <w:rFonts w:cstheme="minorHAnsi"/>
          <w:szCs w:val="22"/>
        </w:rPr>
        <w:t>Resolution E-48</w:t>
      </w:r>
      <w:r>
        <w:rPr>
          <w:rFonts w:cstheme="minorHAnsi"/>
          <w:szCs w:val="22"/>
        </w:rPr>
        <w:t>07</w:t>
      </w:r>
      <w:r w:rsidRPr="00D53594">
        <w:rPr>
          <w:rFonts w:cstheme="minorHAnsi"/>
          <w:szCs w:val="22"/>
        </w:rPr>
        <w:t xml:space="preserve"> </w:t>
      </w:r>
      <w:r>
        <w:rPr>
          <w:rFonts w:cstheme="minorHAnsi"/>
          <w:szCs w:val="22"/>
        </w:rPr>
        <w:t>Final</w:t>
      </w:r>
      <w:r w:rsidRPr="00D53594">
        <w:rPr>
          <w:rFonts w:cstheme="minorHAnsi"/>
          <w:szCs w:val="22"/>
        </w:rPr>
        <w:t xml:space="preserve">. </w:t>
      </w:r>
      <w:r>
        <w:rPr>
          <w:rFonts w:cstheme="minorHAnsi"/>
          <w:szCs w:val="22"/>
        </w:rPr>
        <w:t>December 15</w:t>
      </w:r>
      <w:r w:rsidRPr="00D53594">
        <w:rPr>
          <w:rFonts w:cstheme="minorHAnsi"/>
          <w:szCs w:val="22"/>
        </w:rPr>
        <w:t>, 201</w:t>
      </w:r>
      <w:r>
        <w:rPr>
          <w:rFonts w:cstheme="minorHAnsi"/>
          <w:szCs w:val="22"/>
        </w:rPr>
        <w:t>6</w:t>
      </w:r>
      <w:r w:rsidRPr="00D53594">
        <w:rPr>
          <w:rFonts w:cstheme="minorHAnsi"/>
          <w:szCs w:val="22"/>
        </w:rPr>
        <w:t>. Retrieved from</w:t>
      </w:r>
      <w:r>
        <w:rPr>
          <w:rFonts w:cstheme="minorHAnsi"/>
          <w:szCs w:val="22"/>
        </w:rPr>
        <w:t xml:space="preserve"> </w:t>
      </w:r>
      <w:hyperlink r:id="rId17" w:history="1">
        <w:r w:rsidRPr="00B35957">
          <w:rPr>
            <w:rStyle w:val="Hyperlink"/>
            <w:rFonts w:cstheme="minorHAnsi"/>
            <w:szCs w:val="22"/>
          </w:rPr>
          <w:t>http://docs.cpuc.ca.gov/PublishedDocs/Published/G000/M171/K329/171329677.PDF</w:t>
        </w:r>
      </w:hyperlink>
      <w:r>
        <w:rPr>
          <w:rFonts w:cstheme="minorHAnsi"/>
          <w:szCs w:val="22"/>
        </w:rPr>
        <w:t xml:space="preserve"> </w:t>
      </w:r>
      <w:r w:rsidRPr="00D53594">
        <w:rPr>
          <w:rFonts w:cstheme="minorHAnsi"/>
          <w:szCs w:val="22"/>
        </w:rPr>
        <w:t xml:space="preserve"> </w:t>
      </w:r>
    </w:p>
    <w:p w14:paraId="05A42852" w14:textId="0F2DE0A9" w:rsidR="001F5222" w:rsidRPr="001F5222" w:rsidRDefault="00B34F57" w:rsidP="001F5222">
      <w:pPr>
        <w:tabs>
          <w:tab w:val="left" w:pos="360"/>
        </w:tabs>
        <w:rPr>
          <w:rFonts w:cstheme="minorHAnsi"/>
          <w:szCs w:val="22"/>
        </w:rPr>
      </w:pPr>
      <w:r>
        <w:rPr>
          <w:rFonts w:cstheme="minorHAnsi"/>
          <w:szCs w:val="22"/>
        </w:rPr>
        <w:t xml:space="preserve">[E] </w:t>
      </w:r>
      <w:proofErr w:type="spellStart"/>
      <w:r w:rsidR="001F5222">
        <w:rPr>
          <w:rFonts w:cstheme="minorHAnsi"/>
          <w:szCs w:val="22"/>
        </w:rPr>
        <w:t>Detlef</w:t>
      </w:r>
      <w:proofErr w:type="spellEnd"/>
      <w:r w:rsidR="001F5222">
        <w:rPr>
          <w:rFonts w:cstheme="minorHAnsi"/>
          <w:szCs w:val="22"/>
        </w:rPr>
        <w:t xml:space="preserve"> W, Robert Z., Anthony V., &amp; Matthew F. </w:t>
      </w:r>
      <w:r w:rsidRPr="00B34F57">
        <w:rPr>
          <w:rFonts w:cstheme="minorHAnsi"/>
          <w:szCs w:val="22"/>
        </w:rPr>
        <w:t>(</w:t>
      </w:r>
      <w:r w:rsidR="001F5222">
        <w:rPr>
          <w:rFonts w:cstheme="minorHAnsi"/>
          <w:szCs w:val="22"/>
        </w:rPr>
        <w:t>1996</w:t>
      </w:r>
      <w:r w:rsidRPr="00B34F57">
        <w:rPr>
          <w:rFonts w:cstheme="minorHAnsi"/>
          <w:szCs w:val="22"/>
        </w:rPr>
        <w:t xml:space="preserve">, </w:t>
      </w:r>
      <w:r w:rsidR="001F5222">
        <w:rPr>
          <w:rFonts w:cstheme="minorHAnsi"/>
          <w:szCs w:val="22"/>
        </w:rPr>
        <w:t>June</w:t>
      </w:r>
      <w:r w:rsidRPr="00B34F57">
        <w:rPr>
          <w:rFonts w:cstheme="minorHAnsi"/>
          <w:szCs w:val="22"/>
        </w:rPr>
        <w:t xml:space="preserve">). </w:t>
      </w:r>
      <w:r w:rsidR="001F5222" w:rsidRPr="001F5222">
        <w:rPr>
          <w:rFonts w:cstheme="minorHAnsi"/>
          <w:szCs w:val="22"/>
        </w:rPr>
        <w:t>Energy Savings</w:t>
      </w:r>
      <w:r w:rsidR="001F5222">
        <w:rPr>
          <w:rFonts w:cstheme="minorHAnsi"/>
          <w:szCs w:val="22"/>
        </w:rPr>
        <w:t xml:space="preserve"> </w:t>
      </w:r>
      <w:r w:rsidR="001F5222" w:rsidRPr="001F5222">
        <w:rPr>
          <w:rFonts w:cstheme="minorHAnsi"/>
          <w:szCs w:val="22"/>
        </w:rPr>
        <w:t>Potential for</w:t>
      </w:r>
    </w:p>
    <w:p w14:paraId="791625A3" w14:textId="526E36E4" w:rsidR="00B34F57" w:rsidRDefault="001F5222" w:rsidP="00105743">
      <w:pPr>
        <w:tabs>
          <w:tab w:val="left" w:pos="360"/>
        </w:tabs>
        <w:ind w:left="360" w:hanging="360"/>
        <w:rPr>
          <w:rFonts w:cstheme="minorHAnsi"/>
          <w:szCs w:val="22"/>
        </w:rPr>
      </w:pPr>
      <w:proofErr w:type="gramStart"/>
      <w:r w:rsidRPr="001F5222">
        <w:rPr>
          <w:rFonts w:cstheme="minorHAnsi"/>
          <w:szCs w:val="22"/>
        </w:rPr>
        <w:t>Commercial</w:t>
      </w:r>
      <w:r>
        <w:rPr>
          <w:rFonts w:cstheme="minorHAnsi"/>
          <w:szCs w:val="22"/>
        </w:rPr>
        <w:t xml:space="preserve"> </w:t>
      </w:r>
      <w:r w:rsidRPr="001F5222">
        <w:rPr>
          <w:rFonts w:cstheme="minorHAnsi"/>
          <w:szCs w:val="22"/>
        </w:rPr>
        <w:t>Refrigeration</w:t>
      </w:r>
      <w:r>
        <w:rPr>
          <w:rFonts w:cstheme="minorHAnsi"/>
          <w:szCs w:val="22"/>
        </w:rPr>
        <w:t xml:space="preserve"> </w:t>
      </w:r>
      <w:r w:rsidRPr="001F5222">
        <w:rPr>
          <w:rFonts w:cstheme="minorHAnsi"/>
          <w:szCs w:val="22"/>
        </w:rPr>
        <w:t>Equipment</w:t>
      </w:r>
      <w:r w:rsidR="00B34F57" w:rsidRPr="00B34F57">
        <w:rPr>
          <w:rFonts w:cstheme="minorHAnsi"/>
          <w:szCs w:val="22"/>
        </w:rPr>
        <w:t>.</w:t>
      </w:r>
      <w:proofErr w:type="gramEnd"/>
      <w:r w:rsidR="00B34F57" w:rsidRPr="00B34F57">
        <w:rPr>
          <w:rFonts w:cstheme="minorHAnsi"/>
          <w:szCs w:val="22"/>
        </w:rPr>
        <w:t xml:space="preserve"> </w:t>
      </w:r>
      <w:proofErr w:type="gramStart"/>
      <w:r>
        <w:rPr>
          <w:rFonts w:cstheme="minorHAnsi"/>
          <w:szCs w:val="22"/>
        </w:rPr>
        <w:t>For Building Equipment Division Office of Building Technologies U.S. Department of Energy, Reference 46230-00</w:t>
      </w:r>
      <w:r w:rsidR="00B34F57" w:rsidRPr="00B34F57">
        <w:rPr>
          <w:rFonts w:cstheme="minorHAnsi"/>
          <w:szCs w:val="22"/>
        </w:rPr>
        <w:t>.</w:t>
      </w:r>
      <w:proofErr w:type="gramEnd"/>
      <w:r w:rsidR="00B34F57" w:rsidRPr="00B34F57">
        <w:rPr>
          <w:rFonts w:cstheme="minorHAnsi"/>
          <w:szCs w:val="22"/>
        </w:rPr>
        <w:t xml:space="preserve"> </w:t>
      </w:r>
      <w:proofErr w:type="gramStart"/>
      <w:r w:rsidR="00B34F57" w:rsidRPr="00B34F57">
        <w:rPr>
          <w:rFonts w:cstheme="minorHAnsi"/>
          <w:szCs w:val="22"/>
        </w:rPr>
        <w:t>Retrieved from</w:t>
      </w:r>
      <w:r w:rsidRPr="001F5222">
        <w:t xml:space="preserve"> </w:t>
      </w:r>
      <w:hyperlink r:id="rId18" w:history="1">
        <w:r w:rsidRPr="00B35957">
          <w:rPr>
            <w:rStyle w:val="Hyperlink"/>
            <w:rFonts w:cstheme="minorHAnsi"/>
            <w:szCs w:val="22"/>
          </w:rPr>
          <w:t>http://citeseerx.ist.psu.edu/viewdoc/download?doi=10.1.1.593.7507&amp;rep=rep1&amp;type=pdf</w:t>
        </w:r>
      </w:hyperlink>
      <w:r>
        <w:rPr>
          <w:rFonts w:cstheme="minorHAnsi"/>
          <w:szCs w:val="22"/>
        </w:rPr>
        <w:t>.</w:t>
      </w:r>
      <w:proofErr w:type="gramEnd"/>
      <w:r>
        <w:rPr>
          <w:rFonts w:cstheme="minorHAnsi"/>
          <w:szCs w:val="22"/>
        </w:rPr>
        <w:t xml:space="preserve"> </w:t>
      </w:r>
    </w:p>
    <w:p w14:paraId="32ACB991" w14:textId="3E22C290" w:rsidR="00520B46" w:rsidRDefault="00520B46" w:rsidP="00520B46">
      <w:pPr>
        <w:tabs>
          <w:tab w:val="left" w:pos="360"/>
        </w:tabs>
        <w:rPr>
          <w:rFonts w:cstheme="minorHAnsi"/>
          <w:szCs w:val="22"/>
        </w:rPr>
      </w:pPr>
      <w:r>
        <w:rPr>
          <w:rFonts w:cstheme="minorHAnsi"/>
          <w:szCs w:val="22"/>
        </w:rPr>
        <w:t>[F]</w:t>
      </w:r>
      <w:r w:rsidRPr="00281E4D">
        <w:t xml:space="preserve"> </w:t>
      </w:r>
      <w:r w:rsidRPr="00281E4D">
        <w:rPr>
          <w:rFonts w:cstheme="minorHAnsi"/>
          <w:szCs w:val="22"/>
        </w:rPr>
        <w:t>California Commercial Saturation Survey</w:t>
      </w:r>
      <w:r>
        <w:rPr>
          <w:rFonts w:cstheme="minorHAnsi"/>
          <w:szCs w:val="22"/>
        </w:rPr>
        <w:t xml:space="preserve">, </w:t>
      </w:r>
      <w:r w:rsidRPr="00281E4D">
        <w:rPr>
          <w:rFonts w:cstheme="minorHAnsi"/>
          <w:szCs w:val="22"/>
        </w:rPr>
        <w:t>Prepared for</w:t>
      </w:r>
      <w:r>
        <w:rPr>
          <w:rFonts w:cstheme="minorHAnsi"/>
          <w:szCs w:val="22"/>
        </w:rPr>
        <w:t xml:space="preserve"> </w:t>
      </w:r>
      <w:r w:rsidRPr="00281E4D">
        <w:rPr>
          <w:rFonts w:cstheme="minorHAnsi"/>
          <w:szCs w:val="22"/>
        </w:rPr>
        <w:t>California Public Utilities Commission</w:t>
      </w:r>
      <w:r>
        <w:rPr>
          <w:rFonts w:cstheme="minorHAnsi"/>
          <w:szCs w:val="22"/>
        </w:rPr>
        <w:t xml:space="preserve">. </w:t>
      </w:r>
      <w:proofErr w:type="spellStart"/>
      <w:proofErr w:type="gramStart"/>
      <w:r w:rsidRPr="00281E4D">
        <w:rPr>
          <w:rFonts w:cstheme="minorHAnsi"/>
          <w:szCs w:val="22"/>
        </w:rPr>
        <w:t>Itron</w:t>
      </w:r>
      <w:proofErr w:type="spellEnd"/>
      <w:r>
        <w:rPr>
          <w:rFonts w:cstheme="minorHAnsi"/>
          <w:szCs w:val="22"/>
        </w:rPr>
        <w:t>.</w:t>
      </w:r>
      <w:proofErr w:type="gramEnd"/>
      <w:r w:rsidRPr="00281E4D">
        <w:rPr>
          <w:rFonts w:cstheme="minorHAnsi"/>
          <w:szCs w:val="22"/>
        </w:rPr>
        <w:t xml:space="preserve"> </w:t>
      </w:r>
      <w:r>
        <w:rPr>
          <w:rFonts w:cstheme="minorHAnsi"/>
          <w:szCs w:val="22"/>
        </w:rPr>
        <w:t xml:space="preserve">July 15, </w:t>
      </w:r>
      <w:r w:rsidRPr="00281E4D">
        <w:rPr>
          <w:rFonts w:cstheme="minorHAnsi"/>
          <w:szCs w:val="22"/>
        </w:rPr>
        <w:t>2014</w:t>
      </w:r>
      <w:r>
        <w:rPr>
          <w:rFonts w:cstheme="minorHAnsi"/>
          <w:szCs w:val="22"/>
        </w:rPr>
        <w:t>.</w:t>
      </w:r>
    </w:p>
    <w:p w14:paraId="693C9BFF" w14:textId="77777777" w:rsidR="00520B46" w:rsidRDefault="00520B46" w:rsidP="00105743">
      <w:pPr>
        <w:tabs>
          <w:tab w:val="left" w:pos="360"/>
        </w:tabs>
        <w:ind w:left="360" w:hanging="360"/>
        <w:rPr>
          <w:rFonts w:cstheme="minorHAnsi"/>
          <w:szCs w:val="22"/>
        </w:rPr>
      </w:pPr>
    </w:p>
    <w:p w14:paraId="22863EF5" w14:textId="77777777" w:rsidR="008B0A86" w:rsidRDefault="008B0A86">
      <w:pPr>
        <w:rPr>
          <w:color w:val="FF0000"/>
        </w:rPr>
      </w:pPr>
    </w:p>
    <w:p w14:paraId="0B711CBB" w14:textId="77777777" w:rsidR="004E6D29" w:rsidRDefault="004E6D29">
      <w:pPr>
        <w:rPr>
          <w:color w:val="FF0000"/>
        </w:rPr>
      </w:pPr>
    </w:p>
    <w:p w14:paraId="1B4BED02" w14:textId="77777777" w:rsidR="008B0A86" w:rsidRPr="00920905" w:rsidRDefault="008B0A86" w:rsidP="008B0A86">
      <w:pPr>
        <w:rPr>
          <w:color w:val="FF0000"/>
        </w:rPr>
      </w:pPr>
    </w:p>
    <w:p w14:paraId="50621226" w14:textId="77777777" w:rsidR="008B0A86" w:rsidRPr="00920905" w:rsidRDefault="008B0A86">
      <w:pPr>
        <w:rPr>
          <w:color w:val="FF0000"/>
        </w:rPr>
      </w:pPr>
    </w:p>
    <w:sectPr w:rsidR="008B0A86" w:rsidRPr="00920905" w:rsidSect="00E87C8F">
      <w:footerReference w:type="default" r:id="rId19"/>
      <w:pgSz w:w="12240" w:h="15840"/>
      <w:pgMar w:top="1440" w:right="1440" w:bottom="1557"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30F45F" w16cid:durableId="1DB9856B"/>
  <w16cid:commentId w16cid:paraId="74B8083B" w16cid:durableId="1DB9856C"/>
  <w16cid:commentId w16cid:paraId="57014B8A" w16cid:durableId="1DB9856D"/>
  <w16cid:commentId w16cid:paraId="3DE0FB8A" w16cid:durableId="1DB9856E"/>
  <w16cid:commentId w16cid:paraId="2E746F78" w16cid:durableId="1DB9856F"/>
  <w16cid:commentId w16cid:paraId="7EDB93E6" w16cid:durableId="1DB98570"/>
  <w16cid:commentId w16cid:paraId="3B9C1118" w16cid:durableId="1DB9857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7CEEB" w14:textId="77777777" w:rsidR="00274D3F" w:rsidRDefault="00274D3F" w:rsidP="00447D6E">
      <w:r>
        <w:separator/>
      </w:r>
    </w:p>
    <w:p w14:paraId="5F09CF4E" w14:textId="77777777" w:rsidR="00274D3F" w:rsidRDefault="00274D3F"/>
  </w:endnote>
  <w:endnote w:type="continuationSeparator" w:id="0">
    <w:p w14:paraId="69DA0126" w14:textId="77777777" w:rsidR="00274D3F" w:rsidRDefault="00274D3F" w:rsidP="00447D6E">
      <w:r>
        <w:continuationSeparator/>
      </w:r>
    </w:p>
    <w:p w14:paraId="6B6AFEF8" w14:textId="77777777" w:rsidR="00274D3F" w:rsidRDefault="00274D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altName w:val="Times New Roman"/>
    <w:charset w:val="00"/>
    <w:family w:val="auto"/>
    <w:pitch w:val="variable"/>
    <w:sig w:usb0="00000000" w:usb1="C0007841"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42F67F83" w:rsidR="00BB2AA0" w:rsidRDefault="007D563A"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10-16T00:00:00Z">
          <w:dateFormat w:val="MMMM d, yyyy"/>
          <w:lid w:val="en-US"/>
          <w:storeMappedDataAs w:val="dateTime"/>
          <w:calendar w:val="gregorian"/>
        </w:date>
      </w:sdtPr>
      <w:sdtEndPr/>
      <w:sdtContent>
        <w:r w:rsidR="00BB2AA0">
          <w:rPr>
            <w:rFonts w:cstheme="minorHAnsi"/>
            <w:b/>
            <w:sz w:val="36"/>
            <w:szCs w:val="36"/>
          </w:rPr>
          <w:t>October 16, 2017</w:t>
        </w:r>
      </w:sdtContent>
    </w:sdt>
  </w:p>
  <w:p w14:paraId="650DB54B" w14:textId="670C7D5C" w:rsidR="00BB2AA0" w:rsidRPr="009500DC" w:rsidRDefault="00BB2AA0"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07DC5991" w:rsidR="00BB2AA0" w:rsidRPr="009500DC" w:rsidRDefault="007D563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BB2AA0">
          <w:rPr>
            <w:rFonts w:cstheme="minorHAnsi"/>
            <w:b/>
            <w:sz w:val="20"/>
            <w:szCs w:val="20"/>
          </w:rPr>
          <w:t>SCE17RN024</w:t>
        </w:r>
      </w:sdtContent>
    </w:sdt>
    <w:r w:rsidR="00BB2AA0">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BB2AA0">
          <w:rPr>
            <w:rFonts w:cstheme="minorHAnsi"/>
            <w:b/>
            <w:sz w:val="20"/>
            <w:szCs w:val="20"/>
          </w:rPr>
          <w:t>Revision 1</w:t>
        </w:r>
      </w:sdtContent>
    </w:sdt>
    <w:r w:rsidR="00BB2AA0" w:rsidRPr="009500DC">
      <w:rPr>
        <w:rFonts w:cstheme="minorHAnsi"/>
        <w:b/>
        <w:sz w:val="20"/>
        <w:szCs w:val="20"/>
      </w:rPr>
      <w:tab/>
    </w:r>
    <w:r w:rsidR="00BB2AA0" w:rsidRPr="009500DC">
      <w:rPr>
        <w:rFonts w:cstheme="minorHAnsi"/>
        <w:b/>
        <w:sz w:val="20"/>
        <w:szCs w:val="20"/>
      </w:rPr>
      <w:fldChar w:fldCharType="begin"/>
    </w:r>
    <w:r w:rsidR="00BB2AA0" w:rsidRPr="009500DC">
      <w:rPr>
        <w:rFonts w:cstheme="minorHAnsi"/>
        <w:b/>
        <w:sz w:val="20"/>
        <w:szCs w:val="20"/>
      </w:rPr>
      <w:instrText xml:space="preserve"> PAGE   \* MERGEFORMAT </w:instrText>
    </w:r>
    <w:r w:rsidR="00BB2AA0" w:rsidRPr="009500DC">
      <w:rPr>
        <w:rFonts w:cstheme="minorHAnsi"/>
        <w:b/>
        <w:sz w:val="20"/>
        <w:szCs w:val="20"/>
      </w:rPr>
      <w:fldChar w:fldCharType="separate"/>
    </w:r>
    <w:r>
      <w:rPr>
        <w:rFonts w:cstheme="minorHAnsi"/>
        <w:b/>
        <w:noProof/>
        <w:sz w:val="20"/>
        <w:szCs w:val="20"/>
      </w:rPr>
      <w:t>12</w:t>
    </w:r>
    <w:r w:rsidR="00BB2AA0" w:rsidRPr="009500DC">
      <w:rPr>
        <w:rFonts w:cstheme="minorHAnsi"/>
        <w:b/>
        <w:noProof/>
        <w:sz w:val="20"/>
        <w:szCs w:val="20"/>
      </w:rPr>
      <w:fldChar w:fldCharType="end"/>
    </w:r>
    <w:r w:rsidR="00BB2AA0"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0-16T00:00:00Z">
          <w:dateFormat w:val="MMMM d, yyyy"/>
          <w:lid w:val="en-US"/>
          <w:storeMappedDataAs w:val="dateTime"/>
          <w:calendar w:val="gregorian"/>
        </w:date>
      </w:sdtPr>
      <w:sdtEndPr/>
      <w:sdtContent>
        <w:r w:rsidR="00BB2AA0">
          <w:rPr>
            <w:rFonts w:cstheme="minorHAnsi"/>
            <w:b/>
            <w:sz w:val="20"/>
            <w:szCs w:val="20"/>
          </w:rPr>
          <w:t>October 16, 2017</w:t>
        </w:r>
      </w:sdtContent>
    </w:sdt>
  </w:p>
  <w:p w14:paraId="43C07EA5" w14:textId="544E4323" w:rsidR="00BB2AA0" w:rsidRPr="009500DC" w:rsidRDefault="007D563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BB2AA0">
          <w:rPr>
            <w:rFonts w:cstheme="minorHAnsi"/>
            <w:b/>
            <w:sz w:val="20"/>
            <w:szCs w:val="20"/>
          </w:rPr>
          <w:t>Southern California Edison</w:t>
        </w:r>
      </w:sdtContent>
    </w:sdt>
  </w:p>
  <w:p w14:paraId="4AC7586E" w14:textId="77777777" w:rsidR="00BB2AA0" w:rsidRDefault="00BB2AA0"/>
  <w:p w14:paraId="5C9861A8" w14:textId="77777777" w:rsidR="00BB2AA0" w:rsidRDefault="00BB2A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C52DA8" w14:textId="77777777" w:rsidR="00274D3F" w:rsidRDefault="00274D3F" w:rsidP="00447D6E">
      <w:r>
        <w:separator/>
      </w:r>
    </w:p>
    <w:p w14:paraId="39755D19" w14:textId="77777777" w:rsidR="00274D3F" w:rsidRDefault="00274D3F"/>
  </w:footnote>
  <w:footnote w:type="continuationSeparator" w:id="0">
    <w:p w14:paraId="0CF82803" w14:textId="77777777" w:rsidR="00274D3F" w:rsidRDefault="00274D3F" w:rsidP="00447D6E">
      <w:r>
        <w:continuationSeparator/>
      </w:r>
    </w:p>
    <w:p w14:paraId="2723BB75" w14:textId="77777777" w:rsidR="00274D3F" w:rsidRDefault="00274D3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9E300BE"/>
    <w:multiLevelType w:val="hybridMultilevel"/>
    <w:tmpl w:val="F71CAC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D7A55F4"/>
    <w:multiLevelType w:val="hybridMultilevel"/>
    <w:tmpl w:val="6F06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AF3B0D"/>
    <w:multiLevelType w:val="hybridMultilevel"/>
    <w:tmpl w:val="32821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3D0694"/>
    <w:multiLevelType w:val="hybridMultilevel"/>
    <w:tmpl w:val="F4C0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8B0B9B"/>
    <w:multiLevelType w:val="hybridMultilevel"/>
    <w:tmpl w:val="CB668054"/>
    <w:lvl w:ilvl="0" w:tplc="93CC933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A15835"/>
    <w:multiLevelType w:val="hybridMultilevel"/>
    <w:tmpl w:val="459CE3C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CF6EB0"/>
    <w:multiLevelType w:val="hybridMultilevel"/>
    <w:tmpl w:val="2D4E6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E8A36D5"/>
    <w:multiLevelType w:val="hybridMultilevel"/>
    <w:tmpl w:val="13AE7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E41242"/>
    <w:multiLevelType w:val="hybridMultilevel"/>
    <w:tmpl w:val="B8029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9C5279"/>
    <w:multiLevelType w:val="hybridMultilevel"/>
    <w:tmpl w:val="506EF6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7807632"/>
    <w:multiLevelType w:val="hybridMultilevel"/>
    <w:tmpl w:val="6F92A24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42875A7"/>
    <w:multiLevelType w:val="hybridMultilevel"/>
    <w:tmpl w:val="DAEADAF6"/>
    <w:lvl w:ilvl="0" w:tplc="8B70C7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336504"/>
    <w:multiLevelType w:val="hybridMultilevel"/>
    <w:tmpl w:val="1FE6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A270DE"/>
    <w:multiLevelType w:val="hybridMultilevel"/>
    <w:tmpl w:val="6AF49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ED2DED"/>
    <w:multiLevelType w:val="hybridMultilevel"/>
    <w:tmpl w:val="48680FAE"/>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num w:numId="1">
    <w:abstractNumId w:val="17"/>
  </w:num>
  <w:num w:numId="2">
    <w:abstractNumId w:val="21"/>
  </w:num>
  <w:num w:numId="3">
    <w:abstractNumId w:val="20"/>
  </w:num>
  <w:num w:numId="4">
    <w:abstractNumId w:val="17"/>
  </w:num>
  <w:num w:numId="5">
    <w:abstractNumId w:val="17"/>
  </w:num>
  <w:num w:numId="6">
    <w:abstractNumId w:val="2"/>
  </w:num>
  <w:num w:numId="7">
    <w:abstractNumId w:val="22"/>
  </w:num>
  <w:num w:numId="8">
    <w:abstractNumId w:val="19"/>
  </w:num>
  <w:num w:numId="9">
    <w:abstractNumId w:val="11"/>
  </w:num>
  <w:num w:numId="10">
    <w:abstractNumId w:val="6"/>
  </w:num>
  <w:num w:numId="11">
    <w:abstractNumId w:val="24"/>
  </w:num>
  <w:num w:numId="12">
    <w:abstractNumId w:val="16"/>
  </w:num>
  <w:num w:numId="13">
    <w:abstractNumId w:val="10"/>
  </w:num>
  <w:num w:numId="14">
    <w:abstractNumId w:val="41"/>
  </w:num>
  <w:num w:numId="15">
    <w:abstractNumId w:val="8"/>
  </w:num>
  <w:num w:numId="16">
    <w:abstractNumId w:val="12"/>
  </w:num>
  <w:num w:numId="17">
    <w:abstractNumId w:val="5"/>
  </w:num>
  <w:num w:numId="18">
    <w:abstractNumId w:val="0"/>
  </w:num>
  <w:num w:numId="19">
    <w:abstractNumId w:val="39"/>
  </w:num>
  <w:num w:numId="20">
    <w:abstractNumId w:val="4"/>
  </w:num>
  <w:num w:numId="21">
    <w:abstractNumId w:val="30"/>
  </w:num>
  <w:num w:numId="22">
    <w:abstractNumId w:val="31"/>
  </w:num>
  <w:num w:numId="23">
    <w:abstractNumId w:val="42"/>
  </w:num>
  <w:num w:numId="24">
    <w:abstractNumId w:val="38"/>
  </w:num>
  <w:num w:numId="25">
    <w:abstractNumId w:val="13"/>
  </w:num>
  <w:num w:numId="26">
    <w:abstractNumId w:val="15"/>
  </w:num>
  <w:num w:numId="27">
    <w:abstractNumId w:val="34"/>
  </w:num>
  <w:num w:numId="28">
    <w:abstractNumId w:val="14"/>
  </w:num>
  <w:num w:numId="29">
    <w:abstractNumId w:val="7"/>
  </w:num>
  <w:num w:numId="30">
    <w:abstractNumId w:val="1"/>
  </w:num>
  <w:num w:numId="31">
    <w:abstractNumId w:val="44"/>
  </w:num>
  <w:num w:numId="32">
    <w:abstractNumId w:val="28"/>
  </w:num>
  <w:num w:numId="33">
    <w:abstractNumId w:val="36"/>
  </w:num>
  <w:num w:numId="34">
    <w:abstractNumId w:val="9"/>
  </w:num>
  <w:num w:numId="35">
    <w:abstractNumId w:val="32"/>
  </w:num>
  <w:num w:numId="36">
    <w:abstractNumId w:val="43"/>
  </w:num>
  <w:num w:numId="37">
    <w:abstractNumId w:val="33"/>
  </w:num>
  <w:num w:numId="38">
    <w:abstractNumId w:val="45"/>
  </w:num>
  <w:num w:numId="39">
    <w:abstractNumId w:val="23"/>
  </w:num>
  <w:num w:numId="40">
    <w:abstractNumId w:val="40"/>
  </w:num>
  <w:num w:numId="41">
    <w:abstractNumId w:val="18"/>
  </w:num>
  <w:num w:numId="42">
    <w:abstractNumId w:val="25"/>
  </w:num>
  <w:num w:numId="43">
    <w:abstractNumId w:val="46"/>
  </w:num>
  <w:num w:numId="44">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 w:numId="46">
    <w:abstractNumId w:val="29"/>
  </w:num>
  <w:num w:numId="47">
    <w:abstractNumId w:val="37"/>
  </w:num>
  <w:num w:numId="48">
    <w:abstractNumId w:val="27"/>
  </w:num>
  <w:num w:numId="49">
    <w:abstractNumId w:val="3"/>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6B"/>
    <w:rsid w:val="000016DB"/>
    <w:rsid w:val="000041F2"/>
    <w:rsid w:val="00005902"/>
    <w:rsid w:val="00007642"/>
    <w:rsid w:val="0001002B"/>
    <w:rsid w:val="00010806"/>
    <w:rsid w:val="00010E8D"/>
    <w:rsid w:val="00011706"/>
    <w:rsid w:val="00013F71"/>
    <w:rsid w:val="000173BF"/>
    <w:rsid w:val="00024252"/>
    <w:rsid w:val="000245B5"/>
    <w:rsid w:val="00024C62"/>
    <w:rsid w:val="00027183"/>
    <w:rsid w:val="000278D5"/>
    <w:rsid w:val="00032AAA"/>
    <w:rsid w:val="00032ACB"/>
    <w:rsid w:val="00033EA1"/>
    <w:rsid w:val="00034BB7"/>
    <w:rsid w:val="0003727A"/>
    <w:rsid w:val="0003746D"/>
    <w:rsid w:val="0004020F"/>
    <w:rsid w:val="000436CB"/>
    <w:rsid w:val="00044B67"/>
    <w:rsid w:val="00052E17"/>
    <w:rsid w:val="00054F46"/>
    <w:rsid w:val="00056947"/>
    <w:rsid w:val="00061A8E"/>
    <w:rsid w:val="00061ED3"/>
    <w:rsid w:val="00064CB3"/>
    <w:rsid w:val="00070899"/>
    <w:rsid w:val="00070BEE"/>
    <w:rsid w:val="00072040"/>
    <w:rsid w:val="00076DF4"/>
    <w:rsid w:val="00076F51"/>
    <w:rsid w:val="0008524C"/>
    <w:rsid w:val="00085E6D"/>
    <w:rsid w:val="00086F7F"/>
    <w:rsid w:val="0009074D"/>
    <w:rsid w:val="00090C25"/>
    <w:rsid w:val="0009592B"/>
    <w:rsid w:val="000968C6"/>
    <w:rsid w:val="000A5C84"/>
    <w:rsid w:val="000A63C9"/>
    <w:rsid w:val="000B1742"/>
    <w:rsid w:val="000B3765"/>
    <w:rsid w:val="000B655B"/>
    <w:rsid w:val="000B7E2A"/>
    <w:rsid w:val="000C0000"/>
    <w:rsid w:val="000C18CC"/>
    <w:rsid w:val="000C1965"/>
    <w:rsid w:val="000C687D"/>
    <w:rsid w:val="000C7ED1"/>
    <w:rsid w:val="000D2459"/>
    <w:rsid w:val="000D2FED"/>
    <w:rsid w:val="000D789A"/>
    <w:rsid w:val="000E17B7"/>
    <w:rsid w:val="000E3505"/>
    <w:rsid w:val="000E4B5F"/>
    <w:rsid w:val="000E706D"/>
    <w:rsid w:val="000F130A"/>
    <w:rsid w:val="000F49D0"/>
    <w:rsid w:val="000F4FD8"/>
    <w:rsid w:val="00105743"/>
    <w:rsid w:val="00107242"/>
    <w:rsid w:val="00111CC5"/>
    <w:rsid w:val="001206F7"/>
    <w:rsid w:val="001236C1"/>
    <w:rsid w:val="00126163"/>
    <w:rsid w:val="00126EC1"/>
    <w:rsid w:val="00133EE8"/>
    <w:rsid w:val="0013547E"/>
    <w:rsid w:val="00136BAD"/>
    <w:rsid w:val="00140B30"/>
    <w:rsid w:val="00147155"/>
    <w:rsid w:val="00153CB3"/>
    <w:rsid w:val="00154C3B"/>
    <w:rsid w:val="00160158"/>
    <w:rsid w:val="00163269"/>
    <w:rsid w:val="00165357"/>
    <w:rsid w:val="0017054F"/>
    <w:rsid w:val="001722B7"/>
    <w:rsid w:val="001727D9"/>
    <w:rsid w:val="00172BC7"/>
    <w:rsid w:val="00174BB4"/>
    <w:rsid w:val="0017541E"/>
    <w:rsid w:val="00175D14"/>
    <w:rsid w:val="0017687B"/>
    <w:rsid w:val="001811EE"/>
    <w:rsid w:val="00185AD4"/>
    <w:rsid w:val="001979AF"/>
    <w:rsid w:val="001A0EB4"/>
    <w:rsid w:val="001A1A86"/>
    <w:rsid w:val="001A1C49"/>
    <w:rsid w:val="001A1E41"/>
    <w:rsid w:val="001A5F62"/>
    <w:rsid w:val="001B015E"/>
    <w:rsid w:val="001B2301"/>
    <w:rsid w:val="001B618B"/>
    <w:rsid w:val="001C1338"/>
    <w:rsid w:val="001C33D5"/>
    <w:rsid w:val="001C4140"/>
    <w:rsid w:val="001C5A94"/>
    <w:rsid w:val="001D2317"/>
    <w:rsid w:val="001D3223"/>
    <w:rsid w:val="001D33EF"/>
    <w:rsid w:val="001D45B5"/>
    <w:rsid w:val="001D5AB3"/>
    <w:rsid w:val="001E004D"/>
    <w:rsid w:val="001E0519"/>
    <w:rsid w:val="001E0829"/>
    <w:rsid w:val="001E1320"/>
    <w:rsid w:val="001E556A"/>
    <w:rsid w:val="001E6199"/>
    <w:rsid w:val="001F05CE"/>
    <w:rsid w:val="001F11B9"/>
    <w:rsid w:val="001F1905"/>
    <w:rsid w:val="001F4A65"/>
    <w:rsid w:val="001F5222"/>
    <w:rsid w:val="00201852"/>
    <w:rsid w:val="00205C45"/>
    <w:rsid w:val="0020656E"/>
    <w:rsid w:val="00207020"/>
    <w:rsid w:val="0021035B"/>
    <w:rsid w:val="00211153"/>
    <w:rsid w:val="00211534"/>
    <w:rsid w:val="002167B4"/>
    <w:rsid w:val="00223231"/>
    <w:rsid w:val="002246AA"/>
    <w:rsid w:val="0023254A"/>
    <w:rsid w:val="002344FB"/>
    <w:rsid w:val="0023491C"/>
    <w:rsid w:val="00236216"/>
    <w:rsid w:val="002405CD"/>
    <w:rsid w:val="00240B74"/>
    <w:rsid w:val="0024156B"/>
    <w:rsid w:val="00243B62"/>
    <w:rsid w:val="002448DA"/>
    <w:rsid w:val="00245E24"/>
    <w:rsid w:val="0024675B"/>
    <w:rsid w:val="002469DD"/>
    <w:rsid w:val="00247180"/>
    <w:rsid w:val="002502BD"/>
    <w:rsid w:val="00252859"/>
    <w:rsid w:val="00254671"/>
    <w:rsid w:val="002559DF"/>
    <w:rsid w:val="00257D36"/>
    <w:rsid w:val="00263C1C"/>
    <w:rsid w:val="00271415"/>
    <w:rsid w:val="00274D3F"/>
    <w:rsid w:val="00274FBE"/>
    <w:rsid w:val="002762E1"/>
    <w:rsid w:val="002811BC"/>
    <w:rsid w:val="00283DE8"/>
    <w:rsid w:val="00284B34"/>
    <w:rsid w:val="00285552"/>
    <w:rsid w:val="00285966"/>
    <w:rsid w:val="00285A0D"/>
    <w:rsid w:val="00286CE4"/>
    <w:rsid w:val="00290ED8"/>
    <w:rsid w:val="00293BAE"/>
    <w:rsid w:val="00295C07"/>
    <w:rsid w:val="002965C2"/>
    <w:rsid w:val="00296B49"/>
    <w:rsid w:val="002A03FC"/>
    <w:rsid w:val="002A10D7"/>
    <w:rsid w:val="002A1843"/>
    <w:rsid w:val="002A3D26"/>
    <w:rsid w:val="002A523E"/>
    <w:rsid w:val="002B137C"/>
    <w:rsid w:val="002B1ADF"/>
    <w:rsid w:val="002B1C69"/>
    <w:rsid w:val="002B502E"/>
    <w:rsid w:val="002B5398"/>
    <w:rsid w:val="002B657B"/>
    <w:rsid w:val="002B7714"/>
    <w:rsid w:val="002B7C9D"/>
    <w:rsid w:val="002C14C6"/>
    <w:rsid w:val="002C2853"/>
    <w:rsid w:val="002C444C"/>
    <w:rsid w:val="002C458F"/>
    <w:rsid w:val="002C5ABA"/>
    <w:rsid w:val="002C6396"/>
    <w:rsid w:val="002C6C20"/>
    <w:rsid w:val="002C6C7A"/>
    <w:rsid w:val="002C7F78"/>
    <w:rsid w:val="002D5277"/>
    <w:rsid w:val="002D71FA"/>
    <w:rsid w:val="002D73AF"/>
    <w:rsid w:val="002E3D89"/>
    <w:rsid w:val="002E4FD9"/>
    <w:rsid w:val="002E5B58"/>
    <w:rsid w:val="002F1437"/>
    <w:rsid w:val="002F1DC7"/>
    <w:rsid w:val="002F34B1"/>
    <w:rsid w:val="002F3943"/>
    <w:rsid w:val="002F4E34"/>
    <w:rsid w:val="002F6A42"/>
    <w:rsid w:val="002F79E7"/>
    <w:rsid w:val="003003EC"/>
    <w:rsid w:val="003035E3"/>
    <w:rsid w:val="0030363A"/>
    <w:rsid w:val="003136DD"/>
    <w:rsid w:val="003152B4"/>
    <w:rsid w:val="00317970"/>
    <w:rsid w:val="00317EB0"/>
    <w:rsid w:val="00331DCE"/>
    <w:rsid w:val="00332573"/>
    <w:rsid w:val="00332700"/>
    <w:rsid w:val="003358BD"/>
    <w:rsid w:val="00344E88"/>
    <w:rsid w:val="00345D80"/>
    <w:rsid w:val="003471D4"/>
    <w:rsid w:val="00347298"/>
    <w:rsid w:val="00350BF1"/>
    <w:rsid w:val="00353C49"/>
    <w:rsid w:val="003540B1"/>
    <w:rsid w:val="00354954"/>
    <w:rsid w:val="003557E9"/>
    <w:rsid w:val="003560BA"/>
    <w:rsid w:val="00362D7D"/>
    <w:rsid w:val="00364CC6"/>
    <w:rsid w:val="003650F6"/>
    <w:rsid w:val="0036726C"/>
    <w:rsid w:val="00371511"/>
    <w:rsid w:val="00380E5C"/>
    <w:rsid w:val="003812DF"/>
    <w:rsid w:val="003832D2"/>
    <w:rsid w:val="003845E5"/>
    <w:rsid w:val="00386B3A"/>
    <w:rsid w:val="00393137"/>
    <w:rsid w:val="00393FEC"/>
    <w:rsid w:val="0039615F"/>
    <w:rsid w:val="00397406"/>
    <w:rsid w:val="003A3170"/>
    <w:rsid w:val="003A360E"/>
    <w:rsid w:val="003B3748"/>
    <w:rsid w:val="003B7F01"/>
    <w:rsid w:val="003D11D5"/>
    <w:rsid w:val="003D17FF"/>
    <w:rsid w:val="003D2871"/>
    <w:rsid w:val="003D2981"/>
    <w:rsid w:val="003D5B83"/>
    <w:rsid w:val="003E6E47"/>
    <w:rsid w:val="003F0623"/>
    <w:rsid w:val="003F33DE"/>
    <w:rsid w:val="003F3A41"/>
    <w:rsid w:val="003F3FB6"/>
    <w:rsid w:val="003F67E9"/>
    <w:rsid w:val="00401031"/>
    <w:rsid w:val="004023B7"/>
    <w:rsid w:val="00402EAE"/>
    <w:rsid w:val="004045A0"/>
    <w:rsid w:val="00413CDB"/>
    <w:rsid w:val="00416E34"/>
    <w:rsid w:val="004200FE"/>
    <w:rsid w:val="0042064F"/>
    <w:rsid w:val="00421183"/>
    <w:rsid w:val="00421BA6"/>
    <w:rsid w:val="00421C17"/>
    <w:rsid w:val="00426CDE"/>
    <w:rsid w:val="00433EA1"/>
    <w:rsid w:val="004356E0"/>
    <w:rsid w:val="00435F2E"/>
    <w:rsid w:val="00437038"/>
    <w:rsid w:val="00441957"/>
    <w:rsid w:val="00443D32"/>
    <w:rsid w:val="004469DD"/>
    <w:rsid w:val="00447426"/>
    <w:rsid w:val="004476B2"/>
    <w:rsid w:val="00447CE5"/>
    <w:rsid w:val="00447D6E"/>
    <w:rsid w:val="0045048F"/>
    <w:rsid w:val="0045181B"/>
    <w:rsid w:val="00452133"/>
    <w:rsid w:val="00452C7A"/>
    <w:rsid w:val="00454476"/>
    <w:rsid w:val="004561D8"/>
    <w:rsid w:val="00456B53"/>
    <w:rsid w:val="00461D62"/>
    <w:rsid w:val="0046286E"/>
    <w:rsid w:val="004673A2"/>
    <w:rsid w:val="00471234"/>
    <w:rsid w:val="00472250"/>
    <w:rsid w:val="0047437C"/>
    <w:rsid w:val="00477522"/>
    <w:rsid w:val="00480E7B"/>
    <w:rsid w:val="004843E5"/>
    <w:rsid w:val="00484BF6"/>
    <w:rsid w:val="00484F4D"/>
    <w:rsid w:val="0049052C"/>
    <w:rsid w:val="00493457"/>
    <w:rsid w:val="00494628"/>
    <w:rsid w:val="0049566B"/>
    <w:rsid w:val="00497338"/>
    <w:rsid w:val="004A1650"/>
    <w:rsid w:val="004A5A97"/>
    <w:rsid w:val="004A6E41"/>
    <w:rsid w:val="004B1184"/>
    <w:rsid w:val="004B4A3A"/>
    <w:rsid w:val="004B5CE5"/>
    <w:rsid w:val="004B678D"/>
    <w:rsid w:val="004B750E"/>
    <w:rsid w:val="004C2244"/>
    <w:rsid w:val="004C23F1"/>
    <w:rsid w:val="004C696C"/>
    <w:rsid w:val="004D069A"/>
    <w:rsid w:val="004D4092"/>
    <w:rsid w:val="004E01F5"/>
    <w:rsid w:val="004E297E"/>
    <w:rsid w:val="004E59E0"/>
    <w:rsid w:val="004E6D29"/>
    <w:rsid w:val="004E76CA"/>
    <w:rsid w:val="004F1698"/>
    <w:rsid w:val="004F3E3D"/>
    <w:rsid w:val="00500C4E"/>
    <w:rsid w:val="005033AD"/>
    <w:rsid w:val="00504EA4"/>
    <w:rsid w:val="00505CEC"/>
    <w:rsid w:val="00506628"/>
    <w:rsid w:val="0051020F"/>
    <w:rsid w:val="00513CAB"/>
    <w:rsid w:val="005168BE"/>
    <w:rsid w:val="00516CF5"/>
    <w:rsid w:val="00517941"/>
    <w:rsid w:val="00517FD2"/>
    <w:rsid w:val="00520B46"/>
    <w:rsid w:val="00523597"/>
    <w:rsid w:val="00523736"/>
    <w:rsid w:val="005255C9"/>
    <w:rsid w:val="00532530"/>
    <w:rsid w:val="00533FB3"/>
    <w:rsid w:val="0053584E"/>
    <w:rsid w:val="00535CA4"/>
    <w:rsid w:val="0054422B"/>
    <w:rsid w:val="005458FF"/>
    <w:rsid w:val="005476F6"/>
    <w:rsid w:val="00550D02"/>
    <w:rsid w:val="005513CE"/>
    <w:rsid w:val="00551D72"/>
    <w:rsid w:val="0055288E"/>
    <w:rsid w:val="00552B07"/>
    <w:rsid w:val="005540B6"/>
    <w:rsid w:val="00555035"/>
    <w:rsid w:val="005552C3"/>
    <w:rsid w:val="00555944"/>
    <w:rsid w:val="00560934"/>
    <w:rsid w:val="00561E6E"/>
    <w:rsid w:val="0056277A"/>
    <w:rsid w:val="005628AA"/>
    <w:rsid w:val="00563E58"/>
    <w:rsid w:val="00564960"/>
    <w:rsid w:val="00565F5B"/>
    <w:rsid w:val="00570654"/>
    <w:rsid w:val="00570F38"/>
    <w:rsid w:val="005720F2"/>
    <w:rsid w:val="005729C8"/>
    <w:rsid w:val="00572D2F"/>
    <w:rsid w:val="005734A4"/>
    <w:rsid w:val="00582E80"/>
    <w:rsid w:val="00594EF5"/>
    <w:rsid w:val="005978C2"/>
    <w:rsid w:val="005A0E53"/>
    <w:rsid w:val="005A1078"/>
    <w:rsid w:val="005A4658"/>
    <w:rsid w:val="005A496B"/>
    <w:rsid w:val="005B28C1"/>
    <w:rsid w:val="005B6344"/>
    <w:rsid w:val="005C1C74"/>
    <w:rsid w:val="005C2E48"/>
    <w:rsid w:val="005C32C4"/>
    <w:rsid w:val="005C34D1"/>
    <w:rsid w:val="005C3F23"/>
    <w:rsid w:val="005D0D39"/>
    <w:rsid w:val="005D1043"/>
    <w:rsid w:val="005D2C4F"/>
    <w:rsid w:val="005D33E0"/>
    <w:rsid w:val="005D4DD7"/>
    <w:rsid w:val="005D567E"/>
    <w:rsid w:val="005E00C9"/>
    <w:rsid w:val="005E12A9"/>
    <w:rsid w:val="005E5377"/>
    <w:rsid w:val="005E76FF"/>
    <w:rsid w:val="005F139E"/>
    <w:rsid w:val="005F5CD2"/>
    <w:rsid w:val="005F6547"/>
    <w:rsid w:val="005F69D5"/>
    <w:rsid w:val="005F7CBE"/>
    <w:rsid w:val="006022E7"/>
    <w:rsid w:val="00602353"/>
    <w:rsid w:val="00602799"/>
    <w:rsid w:val="00602F18"/>
    <w:rsid w:val="00607C30"/>
    <w:rsid w:val="006110F3"/>
    <w:rsid w:val="00611257"/>
    <w:rsid w:val="0061188A"/>
    <w:rsid w:val="00611E24"/>
    <w:rsid w:val="00612041"/>
    <w:rsid w:val="00614AFF"/>
    <w:rsid w:val="00620726"/>
    <w:rsid w:val="006217F8"/>
    <w:rsid w:val="00621ABA"/>
    <w:rsid w:val="0062322A"/>
    <w:rsid w:val="00631157"/>
    <w:rsid w:val="006404E6"/>
    <w:rsid w:val="0064299C"/>
    <w:rsid w:val="0064680F"/>
    <w:rsid w:val="0064729D"/>
    <w:rsid w:val="00647ABE"/>
    <w:rsid w:val="006505AB"/>
    <w:rsid w:val="006516BA"/>
    <w:rsid w:val="00651CA8"/>
    <w:rsid w:val="00652885"/>
    <w:rsid w:val="00664B05"/>
    <w:rsid w:val="00665C04"/>
    <w:rsid w:val="0066682D"/>
    <w:rsid w:val="006741CB"/>
    <w:rsid w:val="006746FE"/>
    <w:rsid w:val="00676C70"/>
    <w:rsid w:val="00676E9F"/>
    <w:rsid w:val="00680934"/>
    <w:rsid w:val="00685D5C"/>
    <w:rsid w:val="00691472"/>
    <w:rsid w:val="0069264D"/>
    <w:rsid w:val="00692845"/>
    <w:rsid w:val="00693D18"/>
    <w:rsid w:val="0069532C"/>
    <w:rsid w:val="0069578B"/>
    <w:rsid w:val="00697345"/>
    <w:rsid w:val="00697868"/>
    <w:rsid w:val="006A055F"/>
    <w:rsid w:val="006A126F"/>
    <w:rsid w:val="006A14E9"/>
    <w:rsid w:val="006A2A65"/>
    <w:rsid w:val="006A5293"/>
    <w:rsid w:val="006A67E4"/>
    <w:rsid w:val="006A6D15"/>
    <w:rsid w:val="006B0DF3"/>
    <w:rsid w:val="006B0F11"/>
    <w:rsid w:val="006B1484"/>
    <w:rsid w:val="006B27FA"/>
    <w:rsid w:val="006B4A48"/>
    <w:rsid w:val="006B516E"/>
    <w:rsid w:val="006C23E7"/>
    <w:rsid w:val="006C2C55"/>
    <w:rsid w:val="006C430A"/>
    <w:rsid w:val="006D2809"/>
    <w:rsid w:val="006D4E38"/>
    <w:rsid w:val="006D7E3D"/>
    <w:rsid w:val="006E2644"/>
    <w:rsid w:val="006E27A3"/>
    <w:rsid w:val="006E3342"/>
    <w:rsid w:val="006E4B12"/>
    <w:rsid w:val="006E4B25"/>
    <w:rsid w:val="006E65D0"/>
    <w:rsid w:val="006F1B21"/>
    <w:rsid w:val="006F21E8"/>
    <w:rsid w:val="006F78D5"/>
    <w:rsid w:val="0070091B"/>
    <w:rsid w:val="007048AC"/>
    <w:rsid w:val="00706F88"/>
    <w:rsid w:val="00722671"/>
    <w:rsid w:val="00726338"/>
    <w:rsid w:val="00726AD5"/>
    <w:rsid w:val="00733C7D"/>
    <w:rsid w:val="00740761"/>
    <w:rsid w:val="00745F77"/>
    <w:rsid w:val="007464DE"/>
    <w:rsid w:val="0075074F"/>
    <w:rsid w:val="007516BB"/>
    <w:rsid w:val="007529EA"/>
    <w:rsid w:val="00755A45"/>
    <w:rsid w:val="00760CDC"/>
    <w:rsid w:val="00764D0D"/>
    <w:rsid w:val="00776202"/>
    <w:rsid w:val="007766FD"/>
    <w:rsid w:val="00777C53"/>
    <w:rsid w:val="00784C6A"/>
    <w:rsid w:val="007851AD"/>
    <w:rsid w:val="00786E92"/>
    <w:rsid w:val="00790410"/>
    <w:rsid w:val="007927FE"/>
    <w:rsid w:val="007933F1"/>
    <w:rsid w:val="0079550A"/>
    <w:rsid w:val="007A1C73"/>
    <w:rsid w:val="007A5F52"/>
    <w:rsid w:val="007B090A"/>
    <w:rsid w:val="007B6ED1"/>
    <w:rsid w:val="007C3C2A"/>
    <w:rsid w:val="007C61CC"/>
    <w:rsid w:val="007D563A"/>
    <w:rsid w:val="007E0862"/>
    <w:rsid w:val="007E43F8"/>
    <w:rsid w:val="007E5076"/>
    <w:rsid w:val="007E656B"/>
    <w:rsid w:val="007F2997"/>
    <w:rsid w:val="007F2A67"/>
    <w:rsid w:val="007F33AC"/>
    <w:rsid w:val="007F50E8"/>
    <w:rsid w:val="007F54E2"/>
    <w:rsid w:val="007F7FBA"/>
    <w:rsid w:val="00800319"/>
    <w:rsid w:val="0080044E"/>
    <w:rsid w:val="00800706"/>
    <w:rsid w:val="0080189A"/>
    <w:rsid w:val="00801F7F"/>
    <w:rsid w:val="00803C2B"/>
    <w:rsid w:val="00804EFD"/>
    <w:rsid w:val="00810947"/>
    <w:rsid w:val="00811945"/>
    <w:rsid w:val="00816B65"/>
    <w:rsid w:val="00824AD9"/>
    <w:rsid w:val="00824F1C"/>
    <w:rsid w:val="008259CE"/>
    <w:rsid w:val="00826688"/>
    <w:rsid w:val="0083369B"/>
    <w:rsid w:val="00835C57"/>
    <w:rsid w:val="00835D38"/>
    <w:rsid w:val="00843763"/>
    <w:rsid w:val="00847A4E"/>
    <w:rsid w:val="00853083"/>
    <w:rsid w:val="008676C6"/>
    <w:rsid w:val="00867D8B"/>
    <w:rsid w:val="00871D79"/>
    <w:rsid w:val="0087393E"/>
    <w:rsid w:val="00874750"/>
    <w:rsid w:val="00874DD2"/>
    <w:rsid w:val="00875486"/>
    <w:rsid w:val="00880692"/>
    <w:rsid w:val="00881A42"/>
    <w:rsid w:val="00882077"/>
    <w:rsid w:val="00882386"/>
    <w:rsid w:val="0088361D"/>
    <w:rsid w:val="00885E0A"/>
    <w:rsid w:val="0088603B"/>
    <w:rsid w:val="008877AF"/>
    <w:rsid w:val="00893D10"/>
    <w:rsid w:val="00893FC3"/>
    <w:rsid w:val="0089577B"/>
    <w:rsid w:val="008A12F3"/>
    <w:rsid w:val="008A6EA6"/>
    <w:rsid w:val="008B0A86"/>
    <w:rsid w:val="008B1024"/>
    <w:rsid w:val="008B1357"/>
    <w:rsid w:val="008B2DF3"/>
    <w:rsid w:val="008B7D2D"/>
    <w:rsid w:val="008C2E0E"/>
    <w:rsid w:val="008C4345"/>
    <w:rsid w:val="008C4DE0"/>
    <w:rsid w:val="008C4EB2"/>
    <w:rsid w:val="008D3930"/>
    <w:rsid w:val="008D67BF"/>
    <w:rsid w:val="008D67F9"/>
    <w:rsid w:val="008D72F3"/>
    <w:rsid w:val="008E0234"/>
    <w:rsid w:val="008E09DF"/>
    <w:rsid w:val="008E17CC"/>
    <w:rsid w:val="008E25B1"/>
    <w:rsid w:val="008E56FB"/>
    <w:rsid w:val="008E67BE"/>
    <w:rsid w:val="008F1D21"/>
    <w:rsid w:val="008F2167"/>
    <w:rsid w:val="008F33B4"/>
    <w:rsid w:val="008F546A"/>
    <w:rsid w:val="008F6298"/>
    <w:rsid w:val="008F753B"/>
    <w:rsid w:val="0090077A"/>
    <w:rsid w:val="00900C44"/>
    <w:rsid w:val="00900F47"/>
    <w:rsid w:val="00902D00"/>
    <w:rsid w:val="00903C4A"/>
    <w:rsid w:val="00903E95"/>
    <w:rsid w:val="00904224"/>
    <w:rsid w:val="00904ADA"/>
    <w:rsid w:val="00907697"/>
    <w:rsid w:val="009104FC"/>
    <w:rsid w:val="00910A69"/>
    <w:rsid w:val="00912DD2"/>
    <w:rsid w:val="009138A0"/>
    <w:rsid w:val="00913CF3"/>
    <w:rsid w:val="0091424C"/>
    <w:rsid w:val="00916462"/>
    <w:rsid w:val="00917DE4"/>
    <w:rsid w:val="00920905"/>
    <w:rsid w:val="00922B85"/>
    <w:rsid w:val="00930CDC"/>
    <w:rsid w:val="00931E45"/>
    <w:rsid w:val="00933188"/>
    <w:rsid w:val="00934DE3"/>
    <w:rsid w:val="00935AF9"/>
    <w:rsid w:val="009403A5"/>
    <w:rsid w:val="00941ACE"/>
    <w:rsid w:val="009500DC"/>
    <w:rsid w:val="00951923"/>
    <w:rsid w:val="00956572"/>
    <w:rsid w:val="009612AD"/>
    <w:rsid w:val="00970EEF"/>
    <w:rsid w:val="009729D2"/>
    <w:rsid w:val="00972C81"/>
    <w:rsid w:val="009824E9"/>
    <w:rsid w:val="009826E5"/>
    <w:rsid w:val="009844A1"/>
    <w:rsid w:val="00986E20"/>
    <w:rsid w:val="00993881"/>
    <w:rsid w:val="00995479"/>
    <w:rsid w:val="00995CB0"/>
    <w:rsid w:val="00997E77"/>
    <w:rsid w:val="009A0A04"/>
    <w:rsid w:val="009A2734"/>
    <w:rsid w:val="009A5E52"/>
    <w:rsid w:val="009B0FD4"/>
    <w:rsid w:val="009B2A02"/>
    <w:rsid w:val="009B2B61"/>
    <w:rsid w:val="009B480A"/>
    <w:rsid w:val="009B5B7B"/>
    <w:rsid w:val="009C1777"/>
    <w:rsid w:val="009C2C86"/>
    <w:rsid w:val="009C2FC8"/>
    <w:rsid w:val="009C6FE0"/>
    <w:rsid w:val="009D0753"/>
    <w:rsid w:val="009D0950"/>
    <w:rsid w:val="009D10A4"/>
    <w:rsid w:val="009D5131"/>
    <w:rsid w:val="009D6F71"/>
    <w:rsid w:val="009E1802"/>
    <w:rsid w:val="009E1BAA"/>
    <w:rsid w:val="009E1CDE"/>
    <w:rsid w:val="009E2B06"/>
    <w:rsid w:val="009E3829"/>
    <w:rsid w:val="009E51E2"/>
    <w:rsid w:val="009F6223"/>
    <w:rsid w:val="009F6DB4"/>
    <w:rsid w:val="009F7A61"/>
    <w:rsid w:val="00A009BF"/>
    <w:rsid w:val="00A02FE7"/>
    <w:rsid w:val="00A11800"/>
    <w:rsid w:val="00A11C16"/>
    <w:rsid w:val="00A1423E"/>
    <w:rsid w:val="00A17664"/>
    <w:rsid w:val="00A20FAF"/>
    <w:rsid w:val="00A24175"/>
    <w:rsid w:val="00A24520"/>
    <w:rsid w:val="00A27E3A"/>
    <w:rsid w:val="00A3164A"/>
    <w:rsid w:val="00A32D7F"/>
    <w:rsid w:val="00A37077"/>
    <w:rsid w:val="00A37F42"/>
    <w:rsid w:val="00A40E3E"/>
    <w:rsid w:val="00A4411F"/>
    <w:rsid w:val="00A500D6"/>
    <w:rsid w:val="00A523FF"/>
    <w:rsid w:val="00A5273C"/>
    <w:rsid w:val="00A541C5"/>
    <w:rsid w:val="00A54756"/>
    <w:rsid w:val="00A54C66"/>
    <w:rsid w:val="00A555C8"/>
    <w:rsid w:val="00A56921"/>
    <w:rsid w:val="00A57D36"/>
    <w:rsid w:val="00A61BB6"/>
    <w:rsid w:val="00A62D7F"/>
    <w:rsid w:val="00A65734"/>
    <w:rsid w:val="00A6687F"/>
    <w:rsid w:val="00A67907"/>
    <w:rsid w:val="00A71127"/>
    <w:rsid w:val="00A71691"/>
    <w:rsid w:val="00A72929"/>
    <w:rsid w:val="00A73CC1"/>
    <w:rsid w:val="00A80270"/>
    <w:rsid w:val="00A80739"/>
    <w:rsid w:val="00A82DB1"/>
    <w:rsid w:val="00A84127"/>
    <w:rsid w:val="00A84551"/>
    <w:rsid w:val="00A84BF9"/>
    <w:rsid w:val="00A85F6C"/>
    <w:rsid w:val="00A86DA2"/>
    <w:rsid w:val="00A90DFC"/>
    <w:rsid w:val="00A90F1A"/>
    <w:rsid w:val="00A91BF3"/>
    <w:rsid w:val="00A93EBA"/>
    <w:rsid w:val="00AA0A9C"/>
    <w:rsid w:val="00AA16C0"/>
    <w:rsid w:val="00AA4CDC"/>
    <w:rsid w:val="00AB21D4"/>
    <w:rsid w:val="00AB21F5"/>
    <w:rsid w:val="00AB2DA4"/>
    <w:rsid w:val="00AB3386"/>
    <w:rsid w:val="00AB36DB"/>
    <w:rsid w:val="00AC0B1D"/>
    <w:rsid w:val="00AC2AB9"/>
    <w:rsid w:val="00AC2F5B"/>
    <w:rsid w:val="00AC39B9"/>
    <w:rsid w:val="00AC3DAD"/>
    <w:rsid w:val="00AC4C7A"/>
    <w:rsid w:val="00AC5309"/>
    <w:rsid w:val="00AC5B97"/>
    <w:rsid w:val="00AD367F"/>
    <w:rsid w:val="00AD4DD0"/>
    <w:rsid w:val="00AE0A8D"/>
    <w:rsid w:val="00AE46A0"/>
    <w:rsid w:val="00AE476A"/>
    <w:rsid w:val="00AF6342"/>
    <w:rsid w:val="00AF7ECA"/>
    <w:rsid w:val="00B00A73"/>
    <w:rsid w:val="00B030AA"/>
    <w:rsid w:val="00B053FB"/>
    <w:rsid w:val="00B05647"/>
    <w:rsid w:val="00B07EE5"/>
    <w:rsid w:val="00B12A96"/>
    <w:rsid w:val="00B21144"/>
    <w:rsid w:val="00B21CC5"/>
    <w:rsid w:val="00B22719"/>
    <w:rsid w:val="00B26778"/>
    <w:rsid w:val="00B26B83"/>
    <w:rsid w:val="00B31407"/>
    <w:rsid w:val="00B32479"/>
    <w:rsid w:val="00B32FBB"/>
    <w:rsid w:val="00B33FE2"/>
    <w:rsid w:val="00B34F57"/>
    <w:rsid w:val="00B403ED"/>
    <w:rsid w:val="00B4065F"/>
    <w:rsid w:val="00B408FB"/>
    <w:rsid w:val="00B45091"/>
    <w:rsid w:val="00B45300"/>
    <w:rsid w:val="00B45447"/>
    <w:rsid w:val="00B45AE2"/>
    <w:rsid w:val="00B54BA4"/>
    <w:rsid w:val="00B5635F"/>
    <w:rsid w:val="00B614F1"/>
    <w:rsid w:val="00B64DD9"/>
    <w:rsid w:val="00B66B62"/>
    <w:rsid w:val="00B72730"/>
    <w:rsid w:val="00B833AE"/>
    <w:rsid w:val="00B84F53"/>
    <w:rsid w:val="00B866B4"/>
    <w:rsid w:val="00B86AC5"/>
    <w:rsid w:val="00B90DF8"/>
    <w:rsid w:val="00B94226"/>
    <w:rsid w:val="00B943E1"/>
    <w:rsid w:val="00BA0A8C"/>
    <w:rsid w:val="00BA0CEB"/>
    <w:rsid w:val="00BA2383"/>
    <w:rsid w:val="00BA2E7E"/>
    <w:rsid w:val="00BA47F2"/>
    <w:rsid w:val="00BA590A"/>
    <w:rsid w:val="00BA5FE4"/>
    <w:rsid w:val="00BB0B39"/>
    <w:rsid w:val="00BB2AA0"/>
    <w:rsid w:val="00BB30D1"/>
    <w:rsid w:val="00BB39D8"/>
    <w:rsid w:val="00BB4596"/>
    <w:rsid w:val="00BB5F75"/>
    <w:rsid w:val="00BC5462"/>
    <w:rsid w:val="00BC6524"/>
    <w:rsid w:val="00BD3931"/>
    <w:rsid w:val="00BD5B88"/>
    <w:rsid w:val="00BD5F58"/>
    <w:rsid w:val="00BE0AEB"/>
    <w:rsid w:val="00BE36AB"/>
    <w:rsid w:val="00BE5814"/>
    <w:rsid w:val="00BF3F94"/>
    <w:rsid w:val="00BF4700"/>
    <w:rsid w:val="00BF6B88"/>
    <w:rsid w:val="00C018E0"/>
    <w:rsid w:val="00C025B2"/>
    <w:rsid w:val="00C028D3"/>
    <w:rsid w:val="00C03634"/>
    <w:rsid w:val="00C05AAF"/>
    <w:rsid w:val="00C1148B"/>
    <w:rsid w:val="00C118C7"/>
    <w:rsid w:val="00C131A2"/>
    <w:rsid w:val="00C13D9E"/>
    <w:rsid w:val="00C143D9"/>
    <w:rsid w:val="00C20877"/>
    <w:rsid w:val="00C20E7B"/>
    <w:rsid w:val="00C21456"/>
    <w:rsid w:val="00C233D6"/>
    <w:rsid w:val="00C24D03"/>
    <w:rsid w:val="00C25E61"/>
    <w:rsid w:val="00C30E92"/>
    <w:rsid w:val="00C35A1B"/>
    <w:rsid w:val="00C413F3"/>
    <w:rsid w:val="00C514A5"/>
    <w:rsid w:val="00C52C01"/>
    <w:rsid w:val="00C54EFF"/>
    <w:rsid w:val="00C55D03"/>
    <w:rsid w:val="00C63548"/>
    <w:rsid w:val="00C63F96"/>
    <w:rsid w:val="00C65450"/>
    <w:rsid w:val="00C677AF"/>
    <w:rsid w:val="00C67E59"/>
    <w:rsid w:val="00C71986"/>
    <w:rsid w:val="00C72B8B"/>
    <w:rsid w:val="00C72CB5"/>
    <w:rsid w:val="00C76D4F"/>
    <w:rsid w:val="00C805BC"/>
    <w:rsid w:val="00C851A0"/>
    <w:rsid w:val="00C959CA"/>
    <w:rsid w:val="00C95D16"/>
    <w:rsid w:val="00CA2AB4"/>
    <w:rsid w:val="00CB0100"/>
    <w:rsid w:val="00CB04D2"/>
    <w:rsid w:val="00CC6C1C"/>
    <w:rsid w:val="00CC6D72"/>
    <w:rsid w:val="00CD736D"/>
    <w:rsid w:val="00CD7EFE"/>
    <w:rsid w:val="00CE0C66"/>
    <w:rsid w:val="00CE28CF"/>
    <w:rsid w:val="00CE4386"/>
    <w:rsid w:val="00CE4CDC"/>
    <w:rsid w:val="00CE5BEB"/>
    <w:rsid w:val="00CE69E9"/>
    <w:rsid w:val="00CE71F2"/>
    <w:rsid w:val="00CF3F65"/>
    <w:rsid w:val="00CF464D"/>
    <w:rsid w:val="00CF5257"/>
    <w:rsid w:val="00CF6A17"/>
    <w:rsid w:val="00D17EF4"/>
    <w:rsid w:val="00D23770"/>
    <w:rsid w:val="00D25074"/>
    <w:rsid w:val="00D302FE"/>
    <w:rsid w:val="00D30A60"/>
    <w:rsid w:val="00D34517"/>
    <w:rsid w:val="00D36798"/>
    <w:rsid w:val="00D41EFF"/>
    <w:rsid w:val="00D47E80"/>
    <w:rsid w:val="00D50E8B"/>
    <w:rsid w:val="00D53594"/>
    <w:rsid w:val="00D53950"/>
    <w:rsid w:val="00D543A5"/>
    <w:rsid w:val="00D70563"/>
    <w:rsid w:val="00D70D89"/>
    <w:rsid w:val="00D72051"/>
    <w:rsid w:val="00D7380B"/>
    <w:rsid w:val="00D75D77"/>
    <w:rsid w:val="00D7639E"/>
    <w:rsid w:val="00D835EF"/>
    <w:rsid w:val="00D85F09"/>
    <w:rsid w:val="00D86A9D"/>
    <w:rsid w:val="00DA089A"/>
    <w:rsid w:val="00DA0918"/>
    <w:rsid w:val="00DA11A0"/>
    <w:rsid w:val="00DA2822"/>
    <w:rsid w:val="00DA5082"/>
    <w:rsid w:val="00DA690B"/>
    <w:rsid w:val="00DA7225"/>
    <w:rsid w:val="00DB0223"/>
    <w:rsid w:val="00DB0E6B"/>
    <w:rsid w:val="00DB44E9"/>
    <w:rsid w:val="00DB4BA7"/>
    <w:rsid w:val="00DB57C3"/>
    <w:rsid w:val="00DC06BF"/>
    <w:rsid w:val="00DC162F"/>
    <w:rsid w:val="00DC1966"/>
    <w:rsid w:val="00DC3259"/>
    <w:rsid w:val="00DD0523"/>
    <w:rsid w:val="00DD06C7"/>
    <w:rsid w:val="00DD7178"/>
    <w:rsid w:val="00DE1514"/>
    <w:rsid w:val="00DE5758"/>
    <w:rsid w:val="00DE5FCF"/>
    <w:rsid w:val="00DE6843"/>
    <w:rsid w:val="00DF0D19"/>
    <w:rsid w:val="00DF2EE9"/>
    <w:rsid w:val="00DF6FD8"/>
    <w:rsid w:val="00E020AB"/>
    <w:rsid w:val="00E05A80"/>
    <w:rsid w:val="00E06A37"/>
    <w:rsid w:val="00E071A5"/>
    <w:rsid w:val="00E07752"/>
    <w:rsid w:val="00E16609"/>
    <w:rsid w:val="00E16F08"/>
    <w:rsid w:val="00E21309"/>
    <w:rsid w:val="00E233F3"/>
    <w:rsid w:val="00E26B34"/>
    <w:rsid w:val="00E30FBB"/>
    <w:rsid w:val="00E314BA"/>
    <w:rsid w:val="00E325BE"/>
    <w:rsid w:val="00E326BA"/>
    <w:rsid w:val="00E34202"/>
    <w:rsid w:val="00E37F72"/>
    <w:rsid w:val="00E40BE5"/>
    <w:rsid w:val="00E40CF9"/>
    <w:rsid w:val="00E42A30"/>
    <w:rsid w:val="00E464D9"/>
    <w:rsid w:val="00E52550"/>
    <w:rsid w:val="00E52DF5"/>
    <w:rsid w:val="00E56122"/>
    <w:rsid w:val="00E5625D"/>
    <w:rsid w:val="00E648BB"/>
    <w:rsid w:val="00E653B0"/>
    <w:rsid w:val="00E67ACA"/>
    <w:rsid w:val="00E746E8"/>
    <w:rsid w:val="00E76B31"/>
    <w:rsid w:val="00E81F3E"/>
    <w:rsid w:val="00E844BB"/>
    <w:rsid w:val="00E84C48"/>
    <w:rsid w:val="00E859BD"/>
    <w:rsid w:val="00E86977"/>
    <w:rsid w:val="00E86B70"/>
    <w:rsid w:val="00E87C8F"/>
    <w:rsid w:val="00E924C3"/>
    <w:rsid w:val="00E954EE"/>
    <w:rsid w:val="00E9619C"/>
    <w:rsid w:val="00E96759"/>
    <w:rsid w:val="00EA2C70"/>
    <w:rsid w:val="00EA4437"/>
    <w:rsid w:val="00EA4D87"/>
    <w:rsid w:val="00EA6B45"/>
    <w:rsid w:val="00EB34FC"/>
    <w:rsid w:val="00EB69C3"/>
    <w:rsid w:val="00EB76E1"/>
    <w:rsid w:val="00EC2499"/>
    <w:rsid w:val="00ED08D3"/>
    <w:rsid w:val="00ED1C02"/>
    <w:rsid w:val="00ED47C2"/>
    <w:rsid w:val="00EE29DF"/>
    <w:rsid w:val="00EE3703"/>
    <w:rsid w:val="00EE4120"/>
    <w:rsid w:val="00EF2E8A"/>
    <w:rsid w:val="00EF4E6B"/>
    <w:rsid w:val="00EF5416"/>
    <w:rsid w:val="00EF5E52"/>
    <w:rsid w:val="00F06CCF"/>
    <w:rsid w:val="00F1053D"/>
    <w:rsid w:val="00F110D5"/>
    <w:rsid w:val="00F11E63"/>
    <w:rsid w:val="00F12733"/>
    <w:rsid w:val="00F171E1"/>
    <w:rsid w:val="00F20DCF"/>
    <w:rsid w:val="00F227FD"/>
    <w:rsid w:val="00F25B36"/>
    <w:rsid w:val="00F3052A"/>
    <w:rsid w:val="00F33E03"/>
    <w:rsid w:val="00F341E3"/>
    <w:rsid w:val="00F35D09"/>
    <w:rsid w:val="00F35EC7"/>
    <w:rsid w:val="00F376F2"/>
    <w:rsid w:val="00F417F3"/>
    <w:rsid w:val="00F4304D"/>
    <w:rsid w:val="00F454B5"/>
    <w:rsid w:val="00F46612"/>
    <w:rsid w:val="00F474EF"/>
    <w:rsid w:val="00F4752B"/>
    <w:rsid w:val="00F476E8"/>
    <w:rsid w:val="00F52F37"/>
    <w:rsid w:val="00F541AE"/>
    <w:rsid w:val="00F55355"/>
    <w:rsid w:val="00F56792"/>
    <w:rsid w:val="00F57022"/>
    <w:rsid w:val="00F571A6"/>
    <w:rsid w:val="00F6018B"/>
    <w:rsid w:val="00F60265"/>
    <w:rsid w:val="00F60E32"/>
    <w:rsid w:val="00F64227"/>
    <w:rsid w:val="00F644FF"/>
    <w:rsid w:val="00F65ABA"/>
    <w:rsid w:val="00F65E15"/>
    <w:rsid w:val="00F66840"/>
    <w:rsid w:val="00F70966"/>
    <w:rsid w:val="00F70B5D"/>
    <w:rsid w:val="00F7242E"/>
    <w:rsid w:val="00F74B33"/>
    <w:rsid w:val="00F75659"/>
    <w:rsid w:val="00F80EE1"/>
    <w:rsid w:val="00F810DD"/>
    <w:rsid w:val="00F83CF4"/>
    <w:rsid w:val="00F918C9"/>
    <w:rsid w:val="00F95E2F"/>
    <w:rsid w:val="00F96DEB"/>
    <w:rsid w:val="00FA1872"/>
    <w:rsid w:val="00FA4F34"/>
    <w:rsid w:val="00FB2590"/>
    <w:rsid w:val="00FC140D"/>
    <w:rsid w:val="00FD5A8C"/>
    <w:rsid w:val="00FD67C7"/>
    <w:rsid w:val="00FD744F"/>
    <w:rsid w:val="00FE0C17"/>
    <w:rsid w:val="00FE221F"/>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styleId="MediumList1">
    <w:name w:val="Medium List 1"/>
    <w:basedOn w:val="TableNormal"/>
    <w:uiPriority w:val="65"/>
    <w:rsid w:val="00816B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styleId="MediumList1">
    <w:name w:val="Medium List 1"/>
    <w:basedOn w:val="TableNormal"/>
    <w:uiPriority w:val="65"/>
    <w:rsid w:val="00816B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1995702">
      <w:bodyDiv w:val="1"/>
      <w:marLeft w:val="0"/>
      <w:marRight w:val="0"/>
      <w:marTop w:val="0"/>
      <w:marBottom w:val="0"/>
      <w:divBdr>
        <w:top w:val="none" w:sz="0" w:space="0" w:color="auto"/>
        <w:left w:val="none" w:sz="0" w:space="0" w:color="auto"/>
        <w:bottom w:val="none" w:sz="0" w:space="0" w:color="auto"/>
        <w:right w:val="none" w:sz="0" w:space="0" w:color="auto"/>
      </w:divBdr>
    </w:div>
    <w:div w:id="101662023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11473383">
      <w:bodyDiv w:val="1"/>
      <w:marLeft w:val="0"/>
      <w:marRight w:val="0"/>
      <w:marTop w:val="0"/>
      <w:marBottom w:val="0"/>
      <w:divBdr>
        <w:top w:val="none" w:sz="0" w:space="0" w:color="auto"/>
        <w:left w:val="none" w:sz="0" w:space="0" w:color="auto"/>
        <w:bottom w:val="none" w:sz="0" w:space="0" w:color="auto"/>
        <w:right w:val="none" w:sz="0" w:space="0" w:color="auto"/>
      </w:divBdr>
    </w:div>
    <w:div w:id="203588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18" Type="http://schemas.openxmlformats.org/officeDocument/2006/relationships/hyperlink" Target="http://citeseerx.ist.psu.edu/viewdoc/download?doi=10.1.1.593.7507&amp;rep=rep1&amp;type=pdf" TargetMode="Externa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docs.cpuc.ca.gov/PublishedDocs/Published/G000/M171/K329/171329677.PDF" TargetMode="External"/><Relationship Id="rId2" Type="http://schemas.openxmlformats.org/officeDocument/2006/relationships/customXml" Target="../customXml/item2.xml"/><Relationship Id="rId16" Type="http://schemas.openxmlformats.org/officeDocument/2006/relationships/hyperlink" Target="http://docs.cpuc.ca.gov/PublishedDocs/Published/G000/M179/K264/17926422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hyperlink" Target="http://www.energy.ca.gov/2017publications/CEC-140-2017-002/CEC-140-2017-002.pdf" TargetMode="External"/><Relationship Id="rId10" Type="http://schemas.openxmlformats.org/officeDocument/2006/relationships/footer" Target="footer1.xml"/><Relationship Id="rId19" Type="http://schemas.openxmlformats.org/officeDocument/2006/relationships/footer" Target="footer2.xml"/><Relationship Id="rId31" Type="http://schemas.microsoft.com/office/2016/09/relationships/commentsIds" Target="commentsId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package" Target="embeddings/Microsoft_Excel_Worksheet1.xlsx"/><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altName w:val="Times New Roman"/>
    <w:charset w:val="00"/>
    <w:family w:val="auto"/>
    <w:pitch w:val="variable"/>
    <w:sig w:usb0="00000000" w:usb1="C0007841"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534EA"/>
    <w:rsid w:val="00060F76"/>
    <w:rsid w:val="00067A1D"/>
    <w:rsid w:val="000727DE"/>
    <w:rsid w:val="000A1EAF"/>
    <w:rsid w:val="000C60CD"/>
    <w:rsid w:val="00137037"/>
    <w:rsid w:val="00146151"/>
    <w:rsid w:val="00172EC9"/>
    <w:rsid w:val="001E5475"/>
    <w:rsid w:val="001F32D8"/>
    <w:rsid w:val="00204A7F"/>
    <w:rsid w:val="00214169"/>
    <w:rsid w:val="002B514B"/>
    <w:rsid w:val="002C0C03"/>
    <w:rsid w:val="00311B0D"/>
    <w:rsid w:val="0031712A"/>
    <w:rsid w:val="00337917"/>
    <w:rsid w:val="00385591"/>
    <w:rsid w:val="003A131F"/>
    <w:rsid w:val="0046302D"/>
    <w:rsid w:val="004A4F16"/>
    <w:rsid w:val="00560392"/>
    <w:rsid w:val="005A0C5D"/>
    <w:rsid w:val="005A763A"/>
    <w:rsid w:val="005E6A11"/>
    <w:rsid w:val="00624346"/>
    <w:rsid w:val="00652B45"/>
    <w:rsid w:val="006B052E"/>
    <w:rsid w:val="006B7FA8"/>
    <w:rsid w:val="007333AB"/>
    <w:rsid w:val="00792663"/>
    <w:rsid w:val="007B23ED"/>
    <w:rsid w:val="008211B5"/>
    <w:rsid w:val="00826E5E"/>
    <w:rsid w:val="00843D93"/>
    <w:rsid w:val="00856320"/>
    <w:rsid w:val="00874653"/>
    <w:rsid w:val="008B6489"/>
    <w:rsid w:val="009B4310"/>
    <w:rsid w:val="009D5D4E"/>
    <w:rsid w:val="00A5022A"/>
    <w:rsid w:val="00A8792A"/>
    <w:rsid w:val="00AA7E4D"/>
    <w:rsid w:val="00AE4C28"/>
    <w:rsid w:val="00AF2C4B"/>
    <w:rsid w:val="00B73964"/>
    <w:rsid w:val="00B74704"/>
    <w:rsid w:val="00BB3D18"/>
    <w:rsid w:val="00BB7DA5"/>
    <w:rsid w:val="00C55F08"/>
    <w:rsid w:val="00C947B8"/>
    <w:rsid w:val="00D0496D"/>
    <w:rsid w:val="00D051F5"/>
    <w:rsid w:val="00D57215"/>
    <w:rsid w:val="00DB0586"/>
    <w:rsid w:val="00E11523"/>
    <w:rsid w:val="00E54F23"/>
    <w:rsid w:val="00EB69F0"/>
    <w:rsid w:val="00EC59D9"/>
    <w:rsid w:val="00F7350A"/>
    <w:rsid w:val="00F97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3ACE26-F4D2-4501-B980-481DB6B12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2778</Words>
  <Characters>15837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SCE17RN024</vt:lpstr>
    </vt:vector>
  </TitlesOfParts>
  <Company>Southern California Edison</Company>
  <LinksUpToDate>false</LinksUpToDate>
  <CharactersWithSpaces>18578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SCE17RN024</dc:title>
  <dc:creator>Jim Wyatt (PG&amp;E);Jason Wang (SCE)</dc:creator>
  <cp:lastModifiedBy>Ajay Wadhera</cp:lastModifiedBy>
  <cp:revision>3</cp:revision>
  <dcterms:created xsi:type="dcterms:W3CDTF">2017-11-21T15:35:00Z</dcterms:created>
  <dcterms:modified xsi:type="dcterms:W3CDTF">2017-11-21T15:38:00Z</dcterms:modified>
  <cp:contentStatus>Revision 1</cp:contentStatus>
</cp:coreProperties>
</file>